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DB2A2C" w14:textId="345697F6" w:rsidR="006773A0" w:rsidRPr="006773A0" w:rsidRDefault="006773A0" w:rsidP="006773A0">
      <w:pPr>
        <w:widowControl w:val="0"/>
        <w:tabs>
          <w:tab w:val="right" w:pos="9638"/>
        </w:tabs>
        <w:spacing w:after="0"/>
        <w:ind w:right="-57"/>
        <w:rPr>
          <w:rFonts w:ascii="Arial" w:eastAsia="Arial Unicode MS" w:hAnsi="Arial" w:cs="Arial"/>
          <w:bCs/>
          <w:noProof/>
          <w:sz w:val="24"/>
        </w:rPr>
      </w:pPr>
      <w:bookmarkStart w:id="0" w:name="_Toc26265178"/>
      <w:bookmarkStart w:id="1" w:name="_Toc26525055"/>
      <w:bookmarkStart w:id="2" w:name="_Toc26528660"/>
      <w:bookmarkStart w:id="3" w:name="_Toc27898151"/>
      <w:bookmarkStart w:id="4" w:name="_Toc17295212"/>
      <w:bookmarkStart w:id="5" w:name="_Toc26265181"/>
      <w:bookmarkStart w:id="6" w:name="_Toc26525058"/>
      <w:bookmarkStart w:id="7" w:name="_Toc26528663"/>
      <w:bookmarkStart w:id="8" w:name="_Toc27898154"/>
      <w:r w:rsidRPr="006773A0">
        <w:rPr>
          <w:rFonts w:ascii="Arial" w:eastAsia="Arial Unicode MS" w:hAnsi="Arial" w:cs="Arial"/>
          <w:b/>
          <w:bCs/>
          <w:noProof/>
          <w:sz w:val="24"/>
        </w:rPr>
        <w:t>SA WG2 Meeting #1</w:t>
      </w:r>
      <w:r w:rsidR="004C54DA">
        <w:rPr>
          <w:rFonts w:ascii="Arial" w:eastAsia="Arial Unicode MS" w:hAnsi="Arial" w:cs="Arial"/>
          <w:b/>
          <w:bCs/>
          <w:noProof/>
          <w:sz w:val="24"/>
        </w:rPr>
        <w:t>4</w:t>
      </w:r>
      <w:r w:rsidR="00082D2E">
        <w:rPr>
          <w:rFonts w:ascii="Arial" w:eastAsia="Arial Unicode MS" w:hAnsi="Arial" w:cs="Arial"/>
          <w:b/>
          <w:bCs/>
          <w:noProof/>
          <w:sz w:val="24"/>
        </w:rPr>
        <w:t>8</w:t>
      </w:r>
      <w:r w:rsidRPr="006773A0">
        <w:rPr>
          <w:rFonts w:ascii="Arial" w:eastAsia="Arial Unicode MS" w:hAnsi="Arial" w:cs="Arial"/>
          <w:b/>
          <w:bCs/>
          <w:noProof/>
          <w:sz w:val="24"/>
        </w:rPr>
        <w:t>e</w:t>
      </w:r>
      <w:r w:rsidRPr="006773A0">
        <w:rPr>
          <w:rFonts w:ascii="Arial" w:eastAsia="Arial Unicode MS" w:hAnsi="Arial" w:cs="Arial"/>
          <w:b/>
          <w:bCs/>
          <w:noProof/>
          <w:sz w:val="24"/>
        </w:rPr>
        <w:tab/>
      </w:r>
      <w:r w:rsidRPr="007C5C33">
        <w:rPr>
          <w:rFonts w:ascii="Arial" w:hAnsi="Arial"/>
          <w:b/>
          <w:i/>
          <w:noProof/>
          <w:sz w:val="28"/>
        </w:rPr>
        <w:t>S2-2</w:t>
      </w:r>
      <w:r w:rsidR="008F3D2C">
        <w:rPr>
          <w:rFonts w:ascii="Arial" w:hAnsi="Arial"/>
          <w:b/>
          <w:i/>
          <w:noProof/>
          <w:sz w:val="28"/>
        </w:rPr>
        <w:t>10</w:t>
      </w:r>
      <w:r w:rsidR="0059248A">
        <w:rPr>
          <w:rFonts w:ascii="Arial" w:hAnsi="Arial"/>
          <w:b/>
          <w:i/>
          <w:noProof/>
          <w:sz w:val="28"/>
        </w:rPr>
        <w:t>8501</w:t>
      </w:r>
    </w:p>
    <w:p w14:paraId="20ED8332" w14:textId="422BCA1A" w:rsidR="006773A0" w:rsidRPr="006773A0" w:rsidRDefault="00F10A03" w:rsidP="006773A0">
      <w:pPr>
        <w:widowControl w:val="0"/>
        <w:pBdr>
          <w:bottom w:val="single" w:sz="4" w:space="1" w:color="auto"/>
        </w:pBdr>
        <w:tabs>
          <w:tab w:val="right" w:pos="9638"/>
        </w:tabs>
        <w:spacing w:after="0"/>
        <w:ind w:right="-57"/>
        <w:rPr>
          <w:rFonts w:ascii="Arial" w:eastAsia="Arial Unicode MS" w:hAnsi="Arial" w:cs="Arial"/>
          <w:bCs/>
          <w:noProof/>
          <w:sz w:val="24"/>
        </w:rPr>
      </w:pPr>
      <w:r>
        <w:rPr>
          <w:rFonts w:ascii="Arial" w:eastAsia="Arial Unicode MS" w:hAnsi="Arial" w:cs="Arial"/>
          <w:b/>
          <w:bCs/>
          <w:noProof/>
          <w:sz w:val="24"/>
        </w:rPr>
        <w:t>1</w:t>
      </w:r>
      <w:r w:rsidR="00082D2E">
        <w:rPr>
          <w:rFonts w:ascii="Arial" w:eastAsia="Arial Unicode MS" w:hAnsi="Arial" w:cs="Arial"/>
          <w:b/>
          <w:bCs/>
          <w:noProof/>
          <w:sz w:val="24"/>
        </w:rPr>
        <w:t>5</w:t>
      </w:r>
      <w:r w:rsidR="00756DBE">
        <w:rPr>
          <w:rFonts w:ascii="Arial" w:eastAsia="Arial Unicode MS" w:hAnsi="Arial" w:cs="Arial"/>
          <w:b/>
          <w:bCs/>
          <w:noProof/>
          <w:sz w:val="24"/>
        </w:rPr>
        <w:t xml:space="preserve"> – </w:t>
      </w:r>
      <w:r>
        <w:rPr>
          <w:rFonts w:ascii="Arial" w:eastAsia="Arial Unicode MS" w:hAnsi="Arial" w:cs="Arial"/>
          <w:b/>
          <w:bCs/>
          <w:noProof/>
          <w:sz w:val="24"/>
        </w:rPr>
        <w:t>22</w:t>
      </w:r>
      <w:r w:rsidR="00756DBE">
        <w:rPr>
          <w:rFonts w:ascii="Arial" w:eastAsia="Arial Unicode MS" w:hAnsi="Arial" w:cs="Arial"/>
          <w:b/>
          <w:bCs/>
          <w:noProof/>
          <w:sz w:val="24"/>
        </w:rPr>
        <w:t xml:space="preserve"> </w:t>
      </w:r>
      <w:r w:rsidR="00082D2E">
        <w:rPr>
          <w:rFonts w:ascii="Arial" w:eastAsia="Arial Unicode MS" w:hAnsi="Arial" w:cs="Arial"/>
          <w:b/>
          <w:bCs/>
          <w:noProof/>
          <w:sz w:val="24"/>
        </w:rPr>
        <w:t>November</w:t>
      </w:r>
      <w:r w:rsidR="00756DBE">
        <w:rPr>
          <w:rFonts w:ascii="Arial" w:eastAsia="Arial Unicode MS" w:hAnsi="Arial" w:cs="Arial"/>
          <w:b/>
          <w:bCs/>
          <w:noProof/>
          <w:sz w:val="24"/>
        </w:rPr>
        <w:t xml:space="preserve"> </w:t>
      </w:r>
      <w:r w:rsidR="006773A0" w:rsidRPr="006773A0">
        <w:rPr>
          <w:rFonts w:ascii="Arial" w:eastAsia="Arial Unicode MS" w:hAnsi="Arial" w:cs="Arial"/>
          <w:b/>
          <w:bCs/>
          <w:noProof/>
          <w:sz w:val="24"/>
        </w:rPr>
        <w:t>202</w:t>
      </w:r>
      <w:r w:rsidR="00756DBE">
        <w:rPr>
          <w:rFonts w:ascii="Arial" w:eastAsia="Arial Unicode MS" w:hAnsi="Arial" w:cs="Arial"/>
          <w:b/>
          <w:bCs/>
          <w:noProof/>
          <w:sz w:val="24"/>
        </w:rPr>
        <w:t>1</w:t>
      </w:r>
      <w:r w:rsidR="006773A0" w:rsidRPr="006773A0">
        <w:rPr>
          <w:rFonts w:ascii="Arial" w:eastAsia="Arial Unicode MS" w:hAnsi="Arial" w:cs="Arial"/>
          <w:b/>
          <w:bCs/>
          <w:noProof/>
          <w:sz w:val="24"/>
        </w:rPr>
        <w:t>, e-Meeting</w:t>
      </w:r>
      <w:r w:rsidR="006773A0" w:rsidRPr="006773A0">
        <w:rPr>
          <w:rFonts w:ascii="Arial" w:eastAsia="Arial Unicode MS" w:hAnsi="Arial" w:cs="Arial"/>
          <w:b/>
          <w:bCs/>
          <w:noProof/>
          <w:sz w:val="18"/>
        </w:rPr>
        <w:tab/>
      </w:r>
      <w:r w:rsidR="006773A0" w:rsidRPr="006773A0">
        <w:rPr>
          <w:rFonts w:ascii="Arial" w:eastAsia="Malgun Gothic" w:hAnsi="Arial" w:cs="Arial"/>
          <w:b/>
          <w:bCs/>
          <w:noProof/>
          <w:color w:val="0000FF"/>
          <w:sz w:val="18"/>
        </w:rPr>
        <w:t>(revision of S2-200xxxx)</w:t>
      </w:r>
    </w:p>
    <w:p w14:paraId="52CEEB41" w14:textId="77777777" w:rsidR="006773A0" w:rsidRPr="006773A0" w:rsidRDefault="006773A0" w:rsidP="006773A0">
      <w:pPr>
        <w:jc w:val="both"/>
        <w:rPr>
          <w:rFonts w:ascii="Arial" w:eastAsia="Malgun Gothic" w:hAnsi="Arial" w:cs="Arial"/>
        </w:rPr>
      </w:pPr>
    </w:p>
    <w:p w14:paraId="67241180" w14:textId="77777777"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Source:</w:t>
      </w:r>
      <w:r w:rsidRPr="006773A0">
        <w:rPr>
          <w:rFonts w:ascii="Arial" w:eastAsia="Malgun Gothic" w:hAnsi="Arial" w:cs="Arial"/>
          <w:b/>
        </w:rPr>
        <w:tab/>
        <w:t>Qualcomm Incorporated</w:t>
      </w:r>
    </w:p>
    <w:p w14:paraId="6DC04320" w14:textId="755F4BAC"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Title:</w:t>
      </w:r>
      <w:r w:rsidRPr="006773A0">
        <w:rPr>
          <w:rFonts w:ascii="Arial" w:eastAsia="Malgun Gothic" w:hAnsi="Arial" w:cs="Arial"/>
          <w:b/>
        </w:rPr>
        <w:tab/>
      </w:r>
      <w:r w:rsidR="00137620">
        <w:rPr>
          <w:rFonts w:ascii="Arial" w:eastAsia="Malgun Gothic" w:hAnsi="Arial" w:cs="Arial"/>
          <w:b/>
        </w:rPr>
        <w:t xml:space="preserve">Resolution </w:t>
      </w:r>
      <w:r w:rsidR="004C54DA">
        <w:rPr>
          <w:rFonts w:ascii="Arial" w:eastAsia="Malgun Gothic" w:hAnsi="Arial" w:cs="Arial"/>
          <w:b/>
        </w:rPr>
        <w:t xml:space="preserve">of </w:t>
      </w:r>
      <w:r w:rsidR="002B2825">
        <w:rPr>
          <w:rFonts w:ascii="Arial" w:eastAsia="Malgun Gothic" w:hAnsi="Arial" w:cs="Arial"/>
          <w:b/>
        </w:rPr>
        <w:t>Support for TACs, SAs, FAs</w:t>
      </w:r>
      <w:r w:rsidR="00DD3666">
        <w:rPr>
          <w:rFonts w:ascii="Arial" w:eastAsia="Malgun Gothic" w:hAnsi="Arial" w:cs="Arial"/>
          <w:b/>
        </w:rPr>
        <w:t xml:space="preserve"> for NR Satellite Access</w:t>
      </w:r>
    </w:p>
    <w:p w14:paraId="03DC047C" w14:textId="77777777"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Document for:</w:t>
      </w:r>
      <w:r w:rsidRPr="006773A0">
        <w:rPr>
          <w:rFonts w:ascii="Arial" w:eastAsia="Malgun Gothic" w:hAnsi="Arial" w:cs="Arial"/>
          <w:b/>
        </w:rPr>
        <w:tab/>
        <w:t>Discussion / Approval</w:t>
      </w:r>
    </w:p>
    <w:p w14:paraId="2AA4C537" w14:textId="5C2957A9"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Agenda Item:</w:t>
      </w:r>
      <w:r w:rsidRPr="006773A0">
        <w:rPr>
          <w:rFonts w:ascii="Arial" w:eastAsia="Malgun Gothic" w:hAnsi="Arial" w:cs="Arial"/>
          <w:b/>
        </w:rPr>
        <w:tab/>
        <w:t>8.</w:t>
      </w:r>
      <w:r w:rsidR="007B0B1B">
        <w:rPr>
          <w:rFonts w:ascii="Arial" w:eastAsia="Malgun Gothic" w:hAnsi="Arial" w:cs="Arial"/>
          <w:b/>
        </w:rPr>
        <w:t>11</w:t>
      </w:r>
    </w:p>
    <w:p w14:paraId="0E2EA35A" w14:textId="01B14B1C"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Work Item / Release:</w:t>
      </w:r>
      <w:r w:rsidRPr="006773A0">
        <w:rPr>
          <w:rFonts w:ascii="Arial" w:eastAsia="Malgun Gothic" w:hAnsi="Arial" w:cs="Arial"/>
          <w:b/>
        </w:rPr>
        <w:tab/>
      </w:r>
      <w:r w:rsidRPr="006773A0">
        <w:rPr>
          <w:rFonts w:ascii="Arial" w:eastAsia="Batang" w:hAnsi="Arial" w:cs="Arial"/>
          <w:b/>
          <w:lang w:eastAsia="ar-SA"/>
        </w:rPr>
        <w:t>5GSAT_ARCH</w:t>
      </w:r>
      <w:r w:rsidRPr="006773A0">
        <w:rPr>
          <w:rFonts w:ascii="Arial" w:eastAsia="Malgun Gothic" w:hAnsi="Arial" w:cs="Arial"/>
          <w:b/>
          <w:color w:val="000000"/>
          <w:lang w:eastAsia="ja-JP"/>
        </w:rPr>
        <w:t xml:space="preserve"> / Rel-17</w:t>
      </w:r>
    </w:p>
    <w:p w14:paraId="2E3D7B67" w14:textId="2FE0BA24" w:rsidR="006773A0" w:rsidRPr="006773A0" w:rsidRDefault="006773A0" w:rsidP="006773A0">
      <w:pPr>
        <w:jc w:val="both"/>
        <w:rPr>
          <w:rFonts w:ascii="Arial" w:eastAsia="Malgun Gothic" w:hAnsi="Arial" w:cs="Arial"/>
          <w:i/>
        </w:rPr>
      </w:pPr>
      <w:r w:rsidRPr="006773A0">
        <w:rPr>
          <w:rFonts w:ascii="Arial" w:eastAsia="Malgun Gothic" w:hAnsi="Arial" w:cs="Arial"/>
          <w:i/>
        </w:rPr>
        <w:t xml:space="preserve">Abstract of the contribution: </w:t>
      </w:r>
      <w:r w:rsidR="00DD3666">
        <w:rPr>
          <w:rFonts w:ascii="Arial" w:eastAsia="Malgun Gothic" w:hAnsi="Arial" w:cs="Arial"/>
          <w:i/>
        </w:rPr>
        <w:t>Identifies a reasonably effective and simple solution for s</w:t>
      </w:r>
      <w:r w:rsidR="00DD3666" w:rsidRPr="00DD3666">
        <w:rPr>
          <w:rFonts w:ascii="Arial" w:eastAsia="Malgun Gothic" w:hAnsi="Arial" w:cs="Arial"/>
          <w:i/>
        </w:rPr>
        <w:t xml:space="preserve">upport </w:t>
      </w:r>
      <w:r w:rsidR="00B90D9F">
        <w:rPr>
          <w:rFonts w:ascii="Arial" w:eastAsia="Malgun Gothic" w:hAnsi="Arial" w:cs="Arial"/>
          <w:i/>
        </w:rPr>
        <w:t>o</w:t>
      </w:r>
      <w:r w:rsidR="00DD3666">
        <w:rPr>
          <w:rFonts w:ascii="Arial" w:eastAsia="Malgun Gothic" w:hAnsi="Arial" w:cs="Arial"/>
          <w:i/>
        </w:rPr>
        <w:t xml:space="preserve">f </w:t>
      </w:r>
      <w:r w:rsidR="00DD3666" w:rsidRPr="00DD3666">
        <w:rPr>
          <w:rFonts w:ascii="Arial" w:eastAsia="Malgun Gothic" w:hAnsi="Arial" w:cs="Arial"/>
          <w:i/>
        </w:rPr>
        <w:t>TACs, SAs, FAs for NR Satellite Access</w:t>
      </w:r>
      <w:r w:rsidR="00137620">
        <w:rPr>
          <w:rFonts w:ascii="Arial" w:eastAsia="Malgun Gothic" w:hAnsi="Arial" w:cs="Arial"/>
          <w:i/>
        </w:rPr>
        <w:t>.</w:t>
      </w:r>
    </w:p>
    <w:p w14:paraId="07B3F1BE" w14:textId="63269620" w:rsidR="006773A0" w:rsidRPr="006773A0" w:rsidRDefault="006773A0" w:rsidP="006773A0">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sidRPr="006773A0">
        <w:rPr>
          <w:rFonts w:ascii="Arial" w:eastAsia="Malgun Gothic" w:hAnsi="Arial"/>
          <w:sz w:val="32"/>
        </w:rPr>
        <w:t xml:space="preserve">1. </w:t>
      </w:r>
      <w:r w:rsidR="004C54DA">
        <w:rPr>
          <w:rFonts w:ascii="Arial" w:eastAsia="Malgun Gothic" w:hAnsi="Arial"/>
          <w:sz w:val="32"/>
        </w:rPr>
        <w:t>Introduction</w:t>
      </w:r>
    </w:p>
    <w:p w14:paraId="6F3409E0" w14:textId="77777777" w:rsidR="00082D2E" w:rsidRDefault="001F53D4" w:rsidP="00082D2E">
      <w:pPr>
        <w:jc w:val="both"/>
        <w:rPr>
          <w:rFonts w:eastAsia="Malgun Gothic"/>
          <w:lang w:val="en-US"/>
        </w:rPr>
      </w:pPr>
      <w:r>
        <w:rPr>
          <w:rFonts w:eastAsia="Malgun Gothic"/>
          <w:lang w:eastAsia="x-none"/>
        </w:rPr>
        <w:t>SA2</w:t>
      </w:r>
      <w:r w:rsidR="00137620">
        <w:rPr>
          <w:rFonts w:eastAsia="Malgun Gothic"/>
          <w:lang w:eastAsia="x-none"/>
        </w:rPr>
        <w:t>#146E</w:t>
      </w:r>
      <w:r>
        <w:rPr>
          <w:rFonts w:eastAsia="Malgun Gothic"/>
          <w:lang w:eastAsia="x-none"/>
        </w:rPr>
        <w:t xml:space="preserve"> sent an LS [1] to RAN2</w:t>
      </w:r>
      <w:r w:rsidR="00137620">
        <w:rPr>
          <w:rFonts w:eastAsia="Malgun Gothic"/>
          <w:lang w:eastAsia="x-none"/>
        </w:rPr>
        <w:t>, RAN3</w:t>
      </w:r>
      <w:r>
        <w:rPr>
          <w:rFonts w:eastAsia="Malgun Gothic"/>
          <w:lang w:eastAsia="x-none"/>
        </w:rPr>
        <w:t xml:space="preserve"> and CT1 </w:t>
      </w:r>
      <w:r w:rsidR="00137620">
        <w:rPr>
          <w:rFonts w:eastAsia="Malgun Gothic"/>
          <w:lang w:eastAsia="x-none"/>
        </w:rPr>
        <w:t>describing 4 alternative options to support TAC selection for an NGAP ULI (e.g. in an NGAP Initial UE Message) whe</w:t>
      </w:r>
      <w:r w:rsidR="0000407B">
        <w:rPr>
          <w:rFonts w:eastAsia="Malgun Gothic"/>
          <w:lang w:eastAsia="x-none"/>
        </w:rPr>
        <w:t xml:space="preserve">n </w:t>
      </w:r>
      <w:r w:rsidR="00137620">
        <w:rPr>
          <w:rFonts w:eastAsia="Malgun Gothic"/>
          <w:lang w:eastAsia="x-none"/>
        </w:rPr>
        <w:t>multiple TACs are broadcast in a cell by a gNB</w:t>
      </w:r>
      <w:r w:rsidR="002B2825">
        <w:rPr>
          <w:rFonts w:eastAsia="Malgun Gothic"/>
          <w:lang w:eastAsia="x-none"/>
        </w:rPr>
        <w:t xml:space="preserve">. These were evaluated at SA2#147E in [2] which ended up identifying a fifth option, </w:t>
      </w:r>
      <w:r w:rsidR="00082D2E">
        <w:rPr>
          <w:rFonts w:eastAsia="Malgun Gothic"/>
          <w:lang w:eastAsia="x-none"/>
        </w:rPr>
        <w:t xml:space="preserve">with all 5 options </w:t>
      </w:r>
      <w:r w:rsidR="002B2825">
        <w:rPr>
          <w:rFonts w:eastAsia="Malgun Gothic"/>
          <w:lang w:eastAsia="x-none"/>
        </w:rPr>
        <w:t>summarized in [2] as follows.</w:t>
      </w:r>
      <w:bookmarkStart w:id="9" w:name="_Toc510607461"/>
    </w:p>
    <w:p w14:paraId="3A6BCD23" w14:textId="77777777" w:rsidR="00082D2E" w:rsidRDefault="00082D2E" w:rsidP="00082D2E">
      <w:pPr>
        <w:tabs>
          <w:tab w:val="left" w:pos="360"/>
        </w:tabs>
        <w:ind w:left="1440" w:hanging="1440"/>
        <w:jc w:val="both"/>
        <w:rPr>
          <w:rFonts w:eastAsia="Malgun Gothic"/>
          <w:lang w:val="en-US"/>
        </w:rPr>
      </w:pPr>
      <w:r>
        <w:rPr>
          <w:rFonts w:eastAsia="Malgun Gothic"/>
          <w:lang w:val="en-US"/>
        </w:rPr>
        <w:tab/>
        <w:t>Option A</w:t>
      </w:r>
      <w:r>
        <w:rPr>
          <w:rFonts w:eastAsia="Malgun Gothic"/>
          <w:lang w:val="en-US"/>
        </w:rPr>
        <w:tab/>
        <w:t>gNB selects a TAC from TACs broadcast in the serving radio cell giving preference to any TAC in which the UE is located.</w:t>
      </w:r>
    </w:p>
    <w:p w14:paraId="54A98DCE" w14:textId="77777777" w:rsidR="00082D2E" w:rsidRDefault="00082D2E" w:rsidP="00082D2E">
      <w:pPr>
        <w:tabs>
          <w:tab w:val="left" w:pos="360"/>
        </w:tabs>
        <w:ind w:left="1440" w:hanging="1440"/>
        <w:jc w:val="both"/>
        <w:rPr>
          <w:rFonts w:eastAsia="Malgun Gothic"/>
          <w:lang w:val="en-US"/>
        </w:rPr>
      </w:pPr>
      <w:r>
        <w:rPr>
          <w:rFonts w:eastAsia="Malgun Gothic"/>
          <w:lang w:val="en-US"/>
        </w:rPr>
        <w:tab/>
        <w:t>Option B</w:t>
      </w:r>
      <w:r>
        <w:rPr>
          <w:rFonts w:eastAsia="Malgun Gothic"/>
          <w:lang w:val="en-US"/>
        </w:rPr>
        <w:tab/>
        <w:t>UE selects a TAC from TACs broadcast in the serving radio cell and may give preference to TACs in the RA.</w:t>
      </w:r>
    </w:p>
    <w:p w14:paraId="07B20CBA" w14:textId="77777777" w:rsidR="00082D2E" w:rsidRDefault="00082D2E" w:rsidP="00082D2E">
      <w:pPr>
        <w:tabs>
          <w:tab w:val="left" w:pos="360"/>
        </w:tabs>
        <w:ind w:left="1440" w:hanging="1440"/>
        <w:jc w:val="both"/>
        <w:rPr>
          <w:rFonts w:eastAsia="Malgun Gothic"/>
          <w:lang w:val="en-US"/>
        </w:rPr>
      </w:pPr>
      <w:r>
        <w:rPr>
          <w:rFonts w:eastAsia="Malgun Gothic"/>
          <w:lang w:val="en-US"/>
        </w:rPr>
        <w:tab/>
        <w:t>Option C</w:t>
      </w:r>
      <w:r>
        <w:rPr>
          <w:rFonts w:eastAsia="Malgun Gothic"/>
          <w:lang w:val="en-US"/>
        </w:rPr>
        <w:tab/>
        <w:t>gNB selects a TAC as the TAC for the TA within which the UE is geographically located. When a TAC cannot be determined (e.g. no UE location information), the gNB may select any TAC being broadcast in the serving radio cell.</w:t>
      </w:r>
    </w:p>
    <w:p w14:paraId="549EFCD5" w14:textId="77777777" w:rsidR="00082D2E" w:rsidRDefault="00082D2E" w:rsidP="00082D2E">
      <w:pPr>
        <w:tabs>
          <w:tab w:val="left" w:pos="360"/>
        </w:tabs>
        <w:ind w:left="1440" w:hanging="1440"/>
        <w:jc w:val="both"/>
        <w:rPr>
          <w:rFonts w:eastAsia="Malgun Gothic"/>
          <w:lang w:val="en-US"/>
        </w:rPr>
      </w:pPr>
      <w:r>
        <w:rPr>
          <w:rFonts w:eastAsia="Malgun Gothic"/>
          <w:lang w:val="en-US"/>
        </w:rPr>
        <w:tab/>
        <w:t>Option D</w:t>
      </w:r>
      <w:r>
        <w:rPr>
          <w:rFonts w:eastAsia="Malgun Gothic"/>
          <w:lang w:val="en-US"/>
        </w:rPr>
        <w:tab/>
        <w:t>gNB provides all TACs broadcast in the serving radio cell.</w:t>
      </w:r>
    </w:p>
    <w:p w14:paraId="7256593C" w14:textId="77777777" w:rsidR="00082D2E" w:rsidRDefault="00082D2E" w:rsidP="00082D2E">
      <w:pPr>
        <w:tabs>
          <w:tab w:val="left" w:pos="360"/>
        </w:tabs>
        <w:ind w:left="1440" w:hanging="1440"/>
        <w:jc w:val="both"/>
        <w:rPr>
          <w:rFonts w:eastAsia="Malgun Gothic"/>
          <w:lang w:val="en-US"/>
        </w:rPr>
      </w:pPr>
      <w:r>
        <w:rPr>
          <w:rFonts w:eastAsia="Malgun Gothic"/>
          <w:lang w:val="en-US"/>
        </w:rPr>
        <w:tab/>
        <w:t>Option E</w:t>
      </w:r>
      <w:r>
        <w:rPr>
          <w:rFonts w:eastAsia="Malgun Gothic"/>
          <w:lang w:val="en-US"/>
        </w:rPr>
        <w:tab/>
        <w:t xml:space="preserve">gNB selects a TAC as the TAC for the TA in which the UE is located if broadcast in the serving radio cell, otherwise the TAC broadcast in the serving cell for the TA that is closest to the UE. When a TAC cannot be determined (e.g. no UE location information), the gNB may select any TAC being broadcast in the serving radio cell. </w:t>
      </w:r>
    </w:p>
    <w:p w14:paraId="17FB0432" w14:textId="5519F890" w:rsidR="002B2825" w:rsidRDefault="002B2825" w:rsidP="002B2825">
      <w:pPr>
        <w:tabs>
          <w:tab w:val="left" w:pos="360"/>
        </w:tabs>
        <w:jc w:val="both"/>
        <w:rPr>
          <w:rFonts w:eastAsia="Malgun Gothic"/>
          <w:lang w:val="en-US"/>
        </w:rPr>
      </w:pPr>
      <w:r>
        <w:rPr>
          <w:rFonts w:eastAsia="Malgun Gothic"/>
          <w:lang w:val="en-US"/>
        </w:rPr>
        <w:t xml:space="preserve">During discussion at SA#147, it started to become evident that an Option C+D combination could provide best performance with low impacts to a UE, gNB and AMF </w:t>
      </w:r>
      <w:r w:rsidR="00B73449">
        <w:rPr>
          <w:rFonts w:eastAsia="Malgun Gothic"/>
          <w:lang w:val="en-US"/>
        </w:rPr>
        <w:t>a</w:t>
      </w:r>
      <w:r>
        <w:rPr>
          <w:rFonts w:eastAsia="Malgun Gothic"/>
          <w:lang w:val="en-US"/>
        </w:rPr>
        <w:t xml:space="preserve">nd with an ability to support forbidden areas (FAs) and Service Areas (SAs). </w:t>
      </w:r>
      <w:r w:rsidR="00DD3666">
        <w:rPr>
          <w:rFonts w:eastAsia="Malgun Gothic"/>
          <w:lang w:val="en-US"/>
        </w:rPr>
        <w:t>This</w:t>
      </w:r>
      <w:r w:rsidR="00B73449">
        <w:rPr>
          <w:rFonts w:eastAsia="Malgun Gothic"/>
          <w:lang w:val="en-US"/>
        </w:rPr>
        <w:t xml:space="preserve"> option and its capabilities </w:t>
      </w:r>
      <w:r w:rsidR="00082D2E">
        <w:rPr>
          <w:rFonts w:eastAsia="Malgun Gothic"/>
          <w:lang w:val="en-US"/>
        </w:rPr>
        <w:t xml:space="preserve">and other properties </w:t>
      </w:r>
      <w:r w:rsidR="00B73449">
        <w:rPr>
          <w:rFonts w:eastAsia="Malgun Gothic"/>
          <w:lang w:val="en-US"/>
        </w:rPr>
        <w:t>are evaluated here.</w:t>
      </w:r>
    </w:p>
    <w:p w14:paraId="50691D58" w14:textId="7812BCD6" w:rsidR="001C6E3F" w:rsidRPr="00B04F6F" w:rsidRDefault="00B73449" w:rsidP="001C6E3F">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2</w:t>
      </w:r>
      <w:r w:rsidR="001C6E3F" w:rsidRPr="006773A0">
        <w:rPr>
          <w:rFonts w:ascii="Arial" w:eastAsia="Malgun Gothic" w:hAnsi="Arial"/>
          <w:sz w:val="32"/>
        </w:rPr>
        <w:t>.</w:t>
      </w:r>
      <w:r w:rsidR="001C6E3F">
        <w:rPr>
          <w:rFonts w:ascii="Arial" w:eastAsia="Malgun Gothic" w:hAnsi="Arial"/>
          <w:sz w:val="32"/>
        </w:rPr>
        <w:t xml:space="preserve"> </w:t>
      </w:r>
      <w:r>
        <w:rPr>
          <w:rFonts w:ascii="Arial" w:eastAsia="Malgun Gothic" w:hAnsi="Arial"/>
          <w:sz w:val="32"/>
        </w:rPr>
        <w:t>Option C+D for TAC inclusion in User Location Information (ULI)</w:t>
      </w:r>
    </w:p>
    <w:p w14:paraId="4CBA2BBB" w14:textId="4170CCED" w:rsidR="00B73449" w:rsidRDefault="00B73449" w:rsidP="001C6E3F">
      <w:pPr>
        <w:jc w:val="both"/>
        <w:rPr>
          <w:rFonts w:eastAsia="Malgun Gothic"/>
          <w:lang w:val="en-US"/>
        </w:rPr>
      </w:pPr>
      <w:r>
        <w:rPr>
          <w:rFonts w:eastAsia="Malgun Gothic"/>
          <w:lang w:val="en-US"/>
        </w:rPr>
        <w:t xml:space="preserve">A summary of Option C+D </w:t>
      </w:r>
      <w:r w:rsidR="00082D2E">
        <w:rPr>
          <w:rFonts w:eastAsia="Malgun Gothic"/>
          <w:lang w:val="en-US"/>
        </w:rPr>
        <w:t xml:space="preserve">as it finally emerged during SA2#147E </w:t>
      </w:r>
      <w:r>
        <w:rPr>
          <w:rFonts w:eastAsia="Malgun Gothic"/>
          <w:lang w:val="en-US"/>
        </w:rPr>
        <w:t>is as follows.</w:t>
      </w:r>
    </w:p>
    <w:p w14:paraId="7C81FEC9" w14:textId="3BCABB7D" w:rsidR="00B73449" w:rsidRDefault="00082D2E" w:rsidP="00B73449">
      <w:pPr>
        <w:tabs>
          <w:tab w:val="left" w:pos="360"/>
        </w:tabs>
        <w:ind w:left="1800" w:hanging="1800"/>
        <w:jc w:val="both"/>
        <w:rPr>
          <w:rFonts w:eastAsia="Malgun Gothic"/>
          <w:lang w:val="en-US"/>
        </w:rPr>
      </w:pPr>
      <w:r>
        <w:rPr>
          <w:rFonts w:eastAsia="Malgun Gothic"/>
          <w:lang w:val="en-US"/>
        </w:rPr>
        <w:tab/>
      </w:r>
      <w:r w:rsidR="00B73449">
        <w:rPr>
          <w:rFonts w:eastAsia="Malgun Gothic"/>
          <w:lang w:val="en-US"/>
        </w:rPr>
        <w:t>Option C+D</w:t>
      </w:r>
      <w:r w:rsidR="00B73449">
        <w:rPr>
          <w:rFonts w:eastAsia="Malgun Gothic"/>
          <w:lang w:val="en-US"/>
        </w:rPr>
        <w:tab/>
        <w:t xml:space="preserve">A gNB includes </w:t>
      </w:r>
      <w:r w:rsidR="00B73449" w:rsidRPr="00B73449">
        <w:rPr>
          <w:rFonts w:eastAsia="Malgun Gothic"/>
          <w:lang w:val="en-US"/>
        </w:rPr>
        <w:t>a TA</w:t>
      </w:r>
      <w:r w:rsidR="00D5175A">
        <w:rPr>
          <w:rFonts w:eastAsia="Malgun Gothic"/>
          <w:lang w:val="en-US"/>
        </w:rPr>
        <w:t>I</w:t>
      </w:r>
      <w:r w:rsidR="00B73449" w:rsidRPr="00B73449">
        <w:rPr>
          <w:rFonts w:eastAsia="Malgun Gothic"/>
          <w:lang w:val="en-US"/>
        </w:rPr>
        <w:t xml:space="preserve"> </w:t>
      </w:r>
      <w:r w:rsidR="00B73449">
        <w:rPr>
          <w:rFonts w:eastAsia="Malgun Gothic"/>
          <w:lang w:val="en-US"/>
        </w:rPr>
        <w:t xml:space="preserve">in the ULI </w:t>
      </w:r>
      <w:r w:rsidR="00B73449" w:rsidRPr="00B73449">
        <w:rPr>
          <w:rFonts w:eastAsia="Malgun Gothic"/>
          <w:lang w:val="en-US"/>
        </w:rPr>
        <w:t>for the TA within which the UE is geographically located. When a TA</w:t>
      </w:r>
      <w:r w:rsidR="00D5175A">
        <w:rPr>
          <w:rFonts w:eastAsia="Malgun Gothic"/>
          <w:lang w:val="en-US"/>
        </w:rPr>
        <w:t>I</w:t>
      </w:r>
      <w:r w:rsidR="00B73449" w:rsidRPr="00B73449">
        <w:rPr>
          <w:rFonts w:eastAsia="Malgun Gothic"/>
          <w:lang w:val="en-US"/>
        </w:rPr>
        <w:t xml:space="preserve"> cannot be determined (e.g. no UE location information), </w:t>
      </w:r>
      <w:r w:rsidR="00B73449">
        <w:rPr>
          <w:rFonts w:eastAsia="Malgun Gothic"/>
          <w:lang w:val="en-US"/>
        </w:rPr>
        <w:t>a gNB includes a reserved value indicating the TA</w:t>
      </w:r>
      <w:r w:rsidR="00D5175A">
        <w:rPr>
          <w:rFonts w:eastAsia="Malgun Gothic"/>
          <w:lang w:val="en-US"/>
        </w:rPr>
        <w:t>I</w:t>
      </w:r>
      <w:r w:rsidR="00B73449">
        <w:rPr>
          <w:rFonts w:eastAsia="Malgun Gothic"/>
          <w:lang w:val="en-US"/>
        </w:rPr>
        <w:t xml:space="preserve"> is not available.</w:t>
      </w:r>
    </w:p>
    <w:p w14:paraId="5F9040F9" w14:textId="0EE6E249" w:rsidR="00B73449" w:rsidRDefault="00B73449" w:rsidP="00B73449">
      <w:pPr>
        <w:tabs>
          <w:tab w:val="left" w:pos="360"/>
        </w:tabs>
        <w:ind w:left="1800" w:hanging="1800"/>
        <w:jc w:val="both"/>
        <w:rPr>
          <w:rFonts w:eastAsia="Malgun Gothic"/>
          <w:lang w:val="en-US"/>
        </w:rPr>
      </w:pPr>
      <w:r>
        <w:rPr>
          <w:rFonts w:eastAsia="Malgun Gothic"/>
          <w:lang w:val="en-US"/>
        </w:rPr>
        <w:tab/>
      </w:r>
      <w:r>
        <w:rPr>
          <w:rFonts w:eastAsia="Malgun Gothic"/>
          <w:lang w:val="en-US"/>
        </w:rPr>
        <w:tab/>
        <w:t xml:space="preserve">The gNB also includes </w:t>
      </w:r>
      <w:r w:rsidRPr="00B73449">
        <w:rPr>
          <w:rFonts w:eastAsia="Malgun Gothic"/>
          <w:lang w:val="en-US"/>
        </w:rPr>
        <w:t>all TACs broadcast in the serving radio cell</w:t>
      </w:r>
      <w:r w:rsidR="0065702A">
        <w:rPr>
          <w:rFonts w:eastAsia="Malgun Gothic"/>
          <w:lang w:val="en-US"/>
        </w:rPr>
        <w:t>.</w:t>
      </w:r>
    </w:p>
    <w:p w14:paraId="57A7DF05" w14:textId="2DD6F5F6" w:rsidR="0078504F" w:rsidRDefault="0065702A" w:rsidP="0078504F">
      <w:pPr>
        <w:jc w:val="both"/>
        <w:rPr>
          <w:rFonts w:eastAsia="Malgun Gothic"/>
          <w:lang w:val="en-US"/>
        </w:rPr>
      </w:pPr>
      <w:r>
        <w:rPr>
          <w:rFonts w:eastAsia="Malgun Gothic"/>
          <w:lang w:val="en-US"/>
        </w:rPr>
        <w:t xml:space="preserve">It should be noted that Option C+D applies </w:t>
      </w:r>
      <w:r w:rsidR="0078504F">
        <w:rPr>
          <w:rFonts w:eastAsia="Malgun Gothic"/>
          <w:lang w:val="en-US"/>
        </w:rPr>
        <w:t xml:space="preserve">equally </w:t>
      </w:r>
      <w:r>
        <w:rPr>
          <w:rFonts w:eastAsia="Malgun Gothic"/>
          <w:lang w:val="en-US"/>
        </w:rPr>
        <w:t>to both soft TAC and hard TAC switchover – i.e. there is no different variant of Option C+D for either switchover case.</w:t>
      </w:r>
    </w:p>
    <w:p w14:paraId="1C8D2951" w14:textId="3069A872" w:rsidR="0078504F" w:rsidRDefault="0078504F" w:rsidP="0078504F">
      <w:pPr>
        <w:pStyle w:val="EX"/>
        <w:ind w:left="1440" w:hanging="1440"/>
        <w:rPr>
          <w:rFonts w:eastAsia="Malgun Gothic"/>
          <w:lang w:val="en-US"/>
        </w:rPr>
      </w:pPr>
      <w:r w:rsidRPr="00273B9B">
        <w:rPr>
          <w:b/>
          <w:bCs/>
        </w:rPr>
        <w:t xml:space="preserve">Observation </w:t>
      </w:r>
      <w:r>
        <w:rPr>
          <w:b/>
          <w:bCs/>
        </w:rPr>
        <w:t>1</w:t>
      </w:r>
      <w:r w:rsidRPr="00273B9B">
        <w:rPr>
          <w:b/>
          <w:bCs/>
        </w:rPr>
        <w:tab/>
      </w:r>
      <w:r>
        <w:rPr>
          <w:b/>
          <w:bCs/>
        </w:rPr>
        <w:t>Option C+D applies equally to both hard and soft TAC switchover.</w:t>
      </w:r>
    </w:p>
    <w:p w14:paraId="4DC27EA3" w14:textId="7873E112" w:rsidR="00B73449" w:rsidRDefault="00B73449" w:rsidP="001C6E3F">
      <w:pPr>
        <w:jc w:val="both"/>
        <w:rPr>
          <w:rFonts w:eastAsia="Malgun Gothic"/>
          <w:lang w:val="en-US"/>
        </w:rPr>
      </w:pPr>
      <w:r>
        <w:rPr>
          <w:rFonts w:eastAsia="Malgun Gothic"/>
          <w:lang w:val="en-US"/>
        </w:rPr>
        <w:t>Providing the TA</w:t>
      </w:r>
      <w:r w:rsidR="00D5175A">
        <w:rPr>
          <w:rFonts w:eastAsia="Malgun Gothic"/>
          <w:lang w:val="en-US"/>
        </w:rPr>
        <w:t>I</w:t>
      </w:r>
      <w:r>
        <w:rPr>
          <w:rFonts w:eastAsia="Malgun Gothic"/>
          <w:lang w:val="en-US"/>
        </w:rPr>
        <w:t xml:space="preserve"> for the TA within which a UE </w:t>
      </w:r>
      <w:r w:rsidR="0065702A">
        <w:rPr>
          <w:rFonts w:eastAsia="Malgun Gothic"/>
          <w:lang w:val="en-US"/>
        </w:rPr>
        <w:t>i</w:t>
      </w:r>
      <w:r>
        <w:rPr>
          <w:rFonts w:eastAsia="Malgun Gothic"/>
          <w:lang w:val="en-US"/>
        </w:rPr>
        <w:t>s geographically located allows compatibility with TN support for uses of the TA</w:t>
      </w:r>
      <w:r w:rsidR="00D5175A">
        <w:rPr>
          <w:rFonts w:eastAsia="Malgun Gothic"/>
          <w:lang w:val="en-US"/>
        </w:rPr>
        <w:t>I</w:t>
      </w:r>
      <w:r>
        <w:rPr>
          <w:rFonts w:eastAsia="Malgun Gothic"/>
          <w:lang w:val="en-US"/>
        </w:rPr>
        <w:t xml:space="preserve"> (e.g. UE tracking) that are location related. </w:t>
      </w:r>
      <w:r w:rsidR="0065702A">
        <w:rPr>
          <w:rFonts w:eastAsia="Malgun Gothic"/>
          <w:lang w:val="en-US"/>
        </w:rPr>
        <w:t>Provi</w:t>
      </w:r>
      <w:r w:rsidR="00082D2E">
        <w:rPr>
          <w:rFonts w:eastAsia="Malgun Gothic"/>
          <w:lang w:val="en-US"/>
        </w:rPr>
        <w:t>di</w:t>
      </w:r>
      <w:r w:rsidR="0065702A">
        <w:rPr>
          <w:rFonts w:eastAsia="Malgun Gothic"/>
          <w:lang w:val="en-US"/>
        </w:rPr>
        <w:t xml:space="preserve">ng all </w:t>
      </w:r>
      <w:r w:rsidR="0065702A" w:rsidRPr="00B73449">
        <w:rPr>
          <w:rFonts w:eastAsia="Malgun Gothic"/>
          <w:lang w:val="en-US"/>
        </w:rPr>
        <w:t>TACs broadcast in the serving radio cell</w:t>
      </w:r>
      <w:r w:rsidR="0065702A">
        <w:rPr>
          <w:rFonts w:eastAsia="Malgun Gothic"/>
          <w:lang w:val="en-US"/>
        </w:rPr>
        <w:t xml:space="preserve"> allows an AMF to determine whether the TA</w:t>
      </w:r>
      <w:r w:rsidR="00D5175A">
        <w:rPr>
          <w:rFonts w:eastAsia="Malgun Gothic"/>
          <w:lang w:val="en-US"/>
        </w:rPr>
        <w:t>I</w:t>
      </w:r>
      <w:r w:rsidR="0065702A">
        <w:rPr>
          <w:rFonts w:eastAsia="Malgun Gothic"/>
          <w:lang w:val="en-US"/>
        </w:rPr>
        <w:t xml:space="preserve"> in which the UE is located is broadcast in which case that TA</w:t>
      </w:r>
      <w:r w:rsidR="00D5175A">
        <w:rPr>
          <w:rFonts w:eastAsia="Malgun Gothic"/>
          <w:lang w:val="en-US"/>
        </w:rPr>
        <w:t>I</w:t>
      </w:r>
      <w:r w:rsidR="0065702A">
        <w:rPr>
          <w:rFonts w:eastAsia="Malgun Gothic"/>
          <w:lang w:val="en-US"/>
        </w:rPr>
        <w:t xml:space="preserve"> could be used as the </w:t>
      </w:r>
      <w:r w:rsidR="0065702A">
        <w:rPr>
          <w:rFonts w:eastAsia="Malgun Gothic"/>
          <w:lang w:val="en-US"/>
        </w:rPr>
        <w:lastRenderedPageBreak/>
        <w:t>UE Registration Area (RA). Otherwise, the AMF can include at least one additional TA</w:t>
      </w:r>
      <w:r w:rsidR="00D5175A">
        <w:rPr>
          <w:rFonts w:eastAsia="Malgun Gothic"/>
          <w:lang w:val="en-US"/>
        </w:rPr>
        <w:t>I</w:t>
      </w:r>
      <w:r w:rsidR="0065702A">
        <w:rPr>
          <w:rFonts w:eastAsia="Malgun Gothic"/>
          <w:lang w:val="en-US"/>
        </w:rPr>
        <w:t xml:space="preserve"> in the RA</w:t>
      </w:r>
      <w:r w:rsidR="00D5175A">
        <w:rPr>
          <w:rFonts w:eastAsia="Malgun Gothic"/>
          <w:lang w:val="en-US"/>
        </w:rPr>
        <w:t xml:space="preserve"> for a TAC </w:t>
      </w:r>
      <w:r w:rsidR="0065702A">
        <w:rPr>
          <w:rFonts w:eastAsia="Malgun Gothic"/>
          <w:lang w:val="en-US"/>
        </w:rPr>
        <w:t>that is broadcast or might possibly include</w:t>
      </w:r>
      <w:r w:rsidR="00D5175A">
        <w:rPr>
          <w:rFonts w:eastAsia="Malgun Gothic"/>
          <w:lang w:val="en-US"/>
        </w:rPr>
        <w:t xml:space="preserve"> TAIs for</w:t>
      </w:r>
      <w:r w:rsidR="0065702A">
        <w:rPr>
          <w:rFonts w:eastAsia="Malgun Gothic"/>
          <w:lang w:val="en-US"/>
        </w:rPr>
        <w:t xml:space="preserve"> all of the TACs that are broadcast in the RA.</w:t>
      </w:r>
    </w:p>
    <w:p w14:paraId="70D16E9E" w14:textId="573A3763" w:rsidR="00FC64FA" w:rsidRDefault="0065702A" w:rsidP="001C6E3F">
      <w:pPr>
        <w:jc w:val="both"/>
        <w:rPr>
          <w:rFonts w:eastAsia="Malgun Gothic"/>
          <w:lang w:val="en-US"/>
        </w:rPr>
      </w:pPr>
      <w:r>
        <w:rPr>
          <w:rFonts w:eastAsia="Malgun Gothic"/>
          <w:lang w:val="en-US"/>
        </w:rPr>
        <w:t>It has been stated that</w:t>
      </w:r>
      <w:r w:rsidR="006B1515">
        <w:rPr>
          <w:rFonts w:eastAsia="Malgun Gothic"/>
          <w:lang w:val="en-US"/>
        </w:rPr>
        <w:t>,</w:t>
      </w:r>
      <w:r>
        <w:rPr>
          <w:rFonts w:eastAsia="Malgun Gothic"/>
          <w:lang w:val="en-US"/>
        </w:rPr>
        <w:t xml:space="preserve"> </w:t>
      </w:r>
      <w:r w:rsidR="006B1515">
        <w:rPr>
          <w:rFonts w:eastAsia="Malgun Gothic"/>
          <w:lang w:val="en-US"/>
        </w:rPr>
        <w:t xml:space="preserve">for Option D, </w:t>
      </w:r>
      <w:r>
        <w:rPr>
          <w:rFonts w:eastAsia="Malgun Gothic"/>
          <w:lang w:val="en-US"/>
        </w:rPr>
        <w:t>an AMF might deduce the TA</w:t>
      </w:r>
      <w:r w:rsidR="00D5175A">
        <w:rPr>
          <w:rFonts w:eastAsia="Malgun Gothic"/>
          <w:lang w:val="en-US"/>
        </w:rPr>
        <w:t>I</w:t>
      </w:r>
      <w:r>
        <w:rPr>
          <w:rFonts w:eastAsia="Malgun Gothic"/>
          <w:lang w:val="en-US"/>
        </w:rPr>
        <w:t xml:space="preserve"> for the TA in which a UE is located over a </w:t>
      </w:r>
      <w:r w:rsidR="00DD3666">
        <w:rPr>
          <w:rFonts w:eastAsia="Malgun Gothic"/>
          <w:lang w:val="en-US"/>
        </w:rPr>
        <w:t>period</w:t>
      </w:r>
      <w:r>
        <w:rPr>
          <w:rFonts w:eastAsia="Malgun Gothic"/>
          <w:lang w:val="en-US"/>
        </w:rPr>
        <w:t xml:space="preserve"> of time using just the list of </w:t>
      </w:r>
      <w:r w:rsidRPr="00B73449">
        <w:rPr>
          <w:rFonts w:eastAsia="Malgun Gothic"/>
          <w:lang w:val="en-US"/>
        </w:rPr>
        <w:t>TACs broadcast in the serving radio cell</w:t>
      </w:r>
      <w:r>
        <w:rPr>
          <w:rFonts w:eastAsia="Malgun Gothic"/>
          <w:lang w:val="en-US"/>
        </w:rPr>
        <w:t xml:space="preserve"> without being </w:t>
      </w:r>
      <w:r w:rsidR="00D5175A">
        <w:rPr>
          <w:rFonts w:eastAsia="Malgun Gothic"/>
          <w:lang w:val="en-US"/>
        </w:rPr>
        <w:t xml:space="preserve">explicitly </w:t>
      </w:r>
      <w:r>
        <w:rPr>
          <w:rFonts w:eastAsia="Malgun Gothic"/>
          <w:lang w:val="en-US"/>
        </w:rPr>
        <w:t xml:space="preserve">provided with the </w:t>
      </w:r>
      <w:r w:rsidRPr="00B73449">
        <w:rPr>
          <w:rFonts w:eastAsia="Malgun Gothic"/>
          <w:lang w:val="en-US"/>
        </w:rPr>
        <w:t>TA</w:t>
      </w:r>
      <w:r w:rsidR="00D5175A">
        <w:rPr>
          <w:rFonts w:eastAsia="Malgun Gothic"/>
          <w:lang w:val="en-US"/>
        </w:rPr>
        <w:t>I</w:t>
      </w:r>
      <w:r w:rsidRPr="00B73449">
        <w:rPr>
          <w:rFonts w:eastAsia="Malgun Gothic"/>
          <w:lang w:val="en-US"/>
        </w:rPr>
        <w:t xml:space="preserve"> for the TA within which the UE is geographically located.</w:t>
      </w:r>
      <w:r>
        <w:rPr>
          <w:rFonts w:eastAsia="Malgun Gothic"/>
          <w:lang w:val="en-US"/>
        </w:rPr>
        <w:t xml:space="preserve"> </w:t>
      </w:r>
      <w:r w:rsidR="00882BC8">
        <w:rPr>
          <w:rFonts w:eastAsia="Malgun Gothic"/>
          <w:lang w:val="en-US"/>
        </w:rPr>
        <w:t xml:space="preserve">However, this cannot apply with hard TAC switchover (where a cell just indicates one TAC per PLMN) because a serving radio cell would sometimes indicate the TA in which a UE is located and sometimes indicate a different TA as shown in [2], so there would be no obvious common TAC indicating the TA in which a UE is located. </w:t>
      </w:r>
    </w:p>
    <w:p w14:paraId="63C46EA4" w14:textId="14DF22AF" w:rsidR="001E6876" w:rsidRDefault="00FC64FA" w:rsidP="001E6876">
      <w:pPr>
        <w:pStyle w:val="EX"/>
        <w:ind w:left="1440" w:hanging="1440"/>
        <w:rPr>
          <w:rFonts w:eastAsia="Malgun Gothic"/>
          <w:lang w:val="en-US"/>
        </w:rPr>
      </w:pPr>
      <w:r w:rsidRPr="00273B9B">
        <w:rPr>
          <w:b/>
          <w:bCs/>
        </w:rPr>
        <w:t xml:space="preserve">Observation </w:t>
      </w:r>
      <w:r w:rsidR="0078504F">
        <w:rPr>
          <w:b/>
          <w:bCs/>
        </w:rPr>
        <w:t>2</w:t>
      </w:r>
      <w:r w:rsidRPr="00273B9B">
        <w:rPr>
          <w:b/>
          <w:bCs/>
        </w:rPr>
        <w:tab/>
      </w:r>
      <w:r>
        <w:rPr>
          <w:b/>
          <w:bCs/>
        </w:rPr>
        <w:t>Option D does not allow the TA in which a UE is located to be determined by an AMF with hard TAC switchover.</w:t>
      </w:r>
    </w:p>
    <w:p w14:paraId="742B3C55" w14:textId="2E672181" w:rsidR="001E6876" w:rsidRDefault="00590A08" w:rsidP="001E6876">
      <w:pPr>
        <w:ind w:left="284" w:firstLine="284"/>
        <w:jc w:val="both"/>
        <w:rPr>
          <w:rFonts w:eastAsia="Malgun Gothic"/>
          <w:lang w:val="en-US"/>
        </w:rPr>
      </w:pPr>
      <w:r>
        <w:rPr>
          <w:rFonts w:eastAsia="Malgun Gothic"/>
          <w:lang w:val="en-US"/>
        </w:rPr>
        <w:object w:dxaOrig="14050" w:dyaOrig="9180" w14:anchorId="3E077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95pt;height:260.2pt" o:ole="">
            <v:imagedata r:id="rId12" o:title=""/>
          </v:shape>
          <o:OLEObject Type="Embed" ProgID="Visio.Drawing.15" ShapeID="_x0000_i1025" DrawAspect="Content" ObjectID="_1697832626" r:id="rId13"/>
        </w:object>
      </w:r>
    </w:p>
    <w:p w14:paraId="1BCE7318" w14:textId="5D949BF9" w:rsidR="001E6876" w:rsidRDefault="001E6876" w:rsidP="001E6876">
      <w:pPr>
        <w:jc w:val="center"/>
        <w:rPr>
          <w:rFonts w:eastAsia="Malgun Gothic"/>
          <w:lang w:val="en-US"/>
        </w:rPr>
      </w:pPr>
      <w:r>
        <w:rPr>
          <w:rFonts w:eastAsia="Malgun Gothic"/>
          <w:b/>
          <w:bCs/>
          <w:lang w:val="en-US"/>
        </w:rPr>
        <w:t xml:space="preserve">Figure 1 – Example Radio Cell Coverage at Times T1, T2, T3 </w:t>
      </w:r>
    </w:p>
    <w:p w14:paraId="0EC94FE3" w14:textId="52B24358" w:rsidR="0065702A" w:rsidRDefault="00882BC8" w:rsidP="001C6E3F">
      <w:pPr>
        <w:jc w:val="both"/>
        <w:rPr>
          <w:rFonts w:eastAsia="Malgun Gothic"/>
          <w:lang w:val="en-US"/>
        </w:rPr>
      </w:pPr>
      <w:r>
        <w:rPr>
          <w:rFonts w:eastAsia="Malgun Gothic"/>
          <w:lang w:val="en-US"/>
        </w:rPr>
        <w:t xml:space="preserve">With soft TAC switchover (where a cell can indicate </w:t>
      </w:r>
      <w:r w:rsidR="00DD3666">
        <w:rPr>
          <w:rFonts w:eastAsia="Malgun Gothic"/>
          <w:lang w:val="en-US"/>
        </w:rPr>
        <w:t>multiple</w:t>
      </w:r>
      <w:r>
        <w:rPr>
          <w:rFonts w:eastAsia="Malgun Gothic"/>
          <w:lang w:val="en-US"/>
        </w:rPr>
        <w:t xml:space="preserve"> TACs per PLMN)</w:t>
      </w:r>
      <w:r w:rsidR="008A5A7F">
        <w:rPr>
          <w:rFonts w:eastAsia="Malgun Gothic"/>
          <w:lang w:val="en-US"/>
        </w:rPr>
        <w:t xml:space="preserve">, there is a possibility </w:t>
      </w:r>
      <w:r w:rsidR="00FC64FA">
        <w:rPr>
          <w:rFonts w:eastAsia="Malgun Gothic"/>
          <w:lang w:val="en-US"/>
        </w:rPr>
        <w:t xml:space="preserve">with Option D </w:t>
      </w:r>
      <w:r w:rsidR="008A5A7F">
        <w:rPr>
          <w:rFonts w:eastAsia="Malgun Gothic"/>
          <w:lang w:val="en-US"/>
        </w:rPr>
        <w:t xml:space="preserve">that the TAC for the TA in which a UE is located is always or nearly always broadcast in the serving </w:t>
      </w:r>
      <w:r w:rsidR="006B7E55">
        <w:rPr>
          <w:rFonts w:eastAsia="Malgun Gothic"/>
          <w:lang w:val="en-US"/>
        </w:rPr>
        <w:t xml:space="preserve">radio </w:t>
      </w:r>
      <w:r w:rsidR="00FC64FA">
        <w:rPr>
          <w:rFonts w:eastAsia="Malgun Gothic"/>
          <w:lang w:val="en-US"/>
        </w:rPr>
        <w:t>cell</w:t>
      </w:r>
      <w:r w:rsidR="008A5A7F">
        <w:rPr>
          <w:rFonts w:eastAsia="Malgun Gothic"/>
          <w:lang w:val="en-US"/>
        </w:rPr>
        <w:t>.</w:t>
      </w:r>
      <w:r w:rsidR="00BD1AFF">
        <w:rPr>
          <w:rFonts w:eastAsia="Malgun Gothic"/>
          <w:lang w:val="en-US"/>
        </w:rPr>
        <w:t xml:space="preserve"> Figure 1 illustrates an example where a cell moves over an area comprising a </w:t>
      </w:r>
      <w:r w:rsidR="00DD3666">
        <w:rPr>
          <w:rFonts w:eastAsia="Malgun Gothic"/>
          <w:lang w:val="en-US"/>
        </w:rPr>
        <w:t>number</w:t>
      </w:r>
      <w:r w:rsidR="00BD1AFF">
        <w:rPr>
          <w:rFonts w:eastAsia="Malgun Gothic"/>
          <w:lang w:val="en-US"/>
        </w:rPr>
        <w:t xml:space="preserve"> of TAs and provides coverage to UEs located in TAs 10, 11 and 12 at consecutive times T1, T2 and T3. The TAs (or TACs) potentially broadcast in the cell at each of the times T1, T2 and T3 are also shown. In this e</w:t>
      </w:r>
      <w:r w:rsidR="00DD3666">
        <w:rPr>
          <w:rFonts w:eastAsia="Malgun Gothic"/>
          <w:lang w:val="en-US"/>
        </w:rPr>
        <w:t>xa</w:t>
      </w:r>
      <w:r w:rsidR="00BD1AFF">
        <w:rPr>
          <w:rFonts w:eastAsia="Malgun Gothic"/>
          <w:lang w:val="en-US"/>
        </w:rPr>
        <w:t xml:space="preserve">mple, TACs for the TAs 10. 11 </w:t>
      </w:r>
      <w:r w:rsidR="00DD3666">
        <w:rPr>
          <w:rFonts w:eastAsia="Malgun Gothic"/>
          <w:lang w:val="en-US"/>
        </w:rPr>
        <w:t>and</w:t>
      </w:r>
      <w:r w:rsidR="00BD1AFF">
        <w:rPr>
          <w:rFonts w:eastAsia="Malgun Gothic"/>
          <w:lang w:val="en-US"/>
        </w:rPr>
        <w:t xml:space="preserve"> 12 are broadcast at each of the times T1, T2 and T3. This would enable an AMF to narrow down the TA for each of the 3 UEs to one of TA10, </w:t>
      </w:r>
      <w:r w:rsidR="00FC64FA">
        <w:rPr>
          <w:rFonts w:eastAsia="Malgun Gothic"/>
          <w:lang w:val="en-US"/>
        </w:rPr>
        <w:t>TA</w:t>
      </w:r>
      <w:r w:rsidR="00BD1AFF">
        <w:rPr>
          <w:rFonts w:eastAsia="Malgun Gothic"/>
          <w:lang w:val="en-US"/>
        </w:rPr>
        <w:t xml:space="preserve">11 or </w:t>
      </w:r>
      <w:r w:rsidR="00FC64FA">
        <w:rPr>
          <w:rFonts w:eastAsia="Malgun Gothic"/>
          <w:lang w:val="en-US"/>
        </w:rPr>
        <w:t>TA</w:t>
      </w:r>
      <w:r w:rsidR="00BD1AFF">
        <w:rPr>
          <w:rFonts w:eastAsia="Malgun Gothic"/>
          <w:lang w:val="en-US"/>
        </w:rPr>
        <w:t>12. However, without information for additional cells, the AMF could not narrow down any further. The narrowing down would require that ULI is provided to the AMF at each of the times T1, T2 and T3. A similar effect might occur if ULI is provided for other cells at times earlier than or later than T1, T2</w:t>
      </w:r>
      <w:r w:rsidR="00FC64FA">
        <w:rPr>
          <w:rFonts w:eastAsia="Malgun Gothic"/>
          <w:lang w:val="en-US"/>
        </w:rPr>
        <w:t xml:space="preserve"> and</w:t>
      </w:r>
      <w:r w:rsidR="00BD1AFF">
        <w:rPr>
          <w:rFonts w:eastAsia="Malgun Gothic"/>
          <w:lang w:val="en-US"/>
        </w:rPr>
        <w:t xml:space="preserve"> T3. </w:t>
      </w:r>
      <w:r w:rsidR="006B7E55">
        <w:rPr>
          <w:rFonts w:eastAsia="Malgun Gothic"/>
          <w:lang w:val="en-US"/>
        </w:rPr>
        <w:t>In other examples with fewer TACs per radio cell than in the example of Figure 1, an AMF might be able to narrow down the TA to a single TA in which the UE is located. However, all t</w:t>
      </w:r>
      <w:r w:rsidR="00BD1AFF">
        <w:rPr>
          <w:rFonts w:eastAsia="Malgun Gothic"/>
          <w:lang w:val="en-US"/>
        </w:rPr>
        <w:t xml:space="preserve">his requires prolonged access by a UE and </w:t>
      </w:r>
      <w:r w:rsidR="006B7E55">
        <w:rPr>
          <w:rFonts w:eastAsia="Malgun Gothic"/>
          <w:lang w:val="en-US"/>
        </w:rPr>
        <w:t xml:space="preserve">might not be possible </w:t>
      </w:r>
      <w:r w:rsidR="00BD1AFF">
        <w:rPr>
          <w:rFonts w:eastAsia="Malgun Gothic"/>
          <w:lang w:val="en-US"/>
        </w:rPr>
        <w:t xml:space="preserve">for brief </w:t>
      </w:r>
      <w:r w:rsidR="00FC64FA">
        <w:rPr>
          <w:rFonts w:eastAsia="Malgun Gothic"/>
          <w:lang w:val="en-US"/>
        </w:rPr>
        <w:t xml:space="preserve">UE </w:t>
      </w:r>
      <w:r w:rsidR="00BD1AFF">
        <w:rPr>
          <w:rFonts w:eastAsia="Malgun Gothic"/>
          <w:lang w:val="en-US"/>
        </w:rPr>
        <w:t xml:space="preserve">access </w:t>
      </w:r>
      <w:r w:rsidR="006B7E55">
        <w:rPr>
          <w:rFonts w:eastAsia="Malgun Gothic"/>
          <w:lang w:val="en-US"/>
        </w:rPr>
        <w:t xml:space="preserve">(e.g. </w:t>
      </w:r>
      <w:r w:rsidR="00BD1AFF">
        <w:rPr>
          <w:rFonts w:eastAsia="Malgun Gothic"/>
          <w:lang w:val="en-US"/>
        </w:rPr>
        <w:t>for IOT</w:t>
      </w:r>
      <w:r w:rsidR="006B7E55">
        <w:rPr>
          <w:rFonts w:eastAsia="Malgun Gothic"/>
          <w:lang w:val="en-US"/>
        </w:rPr>
        <w:t>)</w:t>
      </w:r>
      <w:r w:rsidR="00BD1AFF">
        <w:rPr>
          <w:rFonts w:eastAsia="Malgun Gothic"/>
          <w:lang w:val="en-US"/>
        </w:rPr>
        <w:t>.</w:t>
      </w:r>
      <w:r w:rsidR="00272F18">
        <w:rPr>
          <w:rFonts w:eastAsia="Malgun Gothic"/>
          <w:lang w:val="en-US"/>
        </w:rPr>
        <w:t xml:space="preserve"> However, it seems clear that an AMF could narrow down the TA for a UE </w:t>
      </w:r>
      <w:r w:rsidR="00DD3666">
        <w:rPr>
          <w:rFonts w:eastAsia="Malgun Gothic"/>
          <w:lang w:val="en-US"/>
        </w:rPr>
        <w:t>which</w:t>
      </w:r>
      <w:r w:rsidR="00272F18">
        <w:rPr>
          <w:rFonts w:eastAsia="Malgun Gothic"/>
          <w:lang w:val="en-US"/>
        </w:rPr>
        <w:t xml:space="preserve"> has prolonge</w:t>
      </w:r>
      <w:r w:rsidR="00FC64FA">
        <w:rPr>
          <w:rFonts w:eastAsia="Malgun Gothic"/>
          <w:lang w:val="en-US"/>
        </w:rPr>
        <w:t>d</w:t>
      </w:r>
      <w:r w:rsidR="006B7E55">
        <w:rPr>
          <w:rFonts w:eastAsia="Malgun Gothic"/>
          <w:lang w:val="en-US"/>
        </w:rPr>
        <w:t xml:space="preserve"> 5GC</w:t>
      </w:r>
      <w:r w:rsidR="00272F18">
        <w:rPr>
          <w:rFonts w:eastAsia="Malgun Gothic"/>
          <w:lang w:val="en-US"/>
        </w:rPr>
        <w:t xml:space="preserve"> access to a smaller number of TAs </w:t>
      </w:r>
      <w:r w:rsidR="006B7E55">
        <w:rPr>
          <w:rFonts w:eastAsia="Malgun Gothic"/>
          <w:lang w:val="en-US"/>
        </w:rPr>
        <w:t xml:space="preserve">or even </w:t>
      </w:r>
      <w:r w:rsidR="00C31F91">
        <w:rPr>
          <w:rFonts w:eastAsia="Malgun Gothic"/>
          <w:lang w:val="en-US"/>
        </w:rPr>
        <w:t xml:space="preserve">to </w:t>
      </w:r>
      <w:r w:rsidR="006B7E55">
        <w:rPr>
          <w:rFonts w:eastAsia="Malgun Gothic"/>
          <w:lang w:val="en-US"/>
        </w:rPr>
        <w:t xml:space="preserve">a single TA in which the UE is likely to be located </w:t>
      </w:r>
      <w:r w:rsidR="00272F18">
        <w:rPr>
          <w:rFonts w:eastAsia="Malgun Gothic"/>
          <w:lang w:val="en-US"/>
        </w:rPr>
        <w:t xml:space="preserve">which could allow </w:t>
      </w:r>
      <w:r w:rsidR="00DD3666">
        <w:rPr>
          <w:rFonts w:eastAsia="Malgun Gothic"/>
          <w:lang w:val="en-US"/>
        </w:rPr>
        <w:t>assignment</w:t>
      </w:r>
      <w:r w:rsidR="00272F18">
        <w:rPr>
          <w:rFonts w:eastAsia="Malgun Gothic"/>
          <w:lang w:val="en-US"/>
        </w:rPr>
        <w:t xml:space="preserve"> </w:t>
      </w:r>
      <w:r w:rsidR="00DD3666">
        <w:rPr>
          <w:rFonts w:eastAsia="Malgun Gothic"/>
          <w:lang w:val="en-US"/>
        </w:rPr>
        <w:t>of</w:t>
      </w:r>
      <w:r w:rsidR="00272F18">
        <w:rPr>
          <w:rFonts w:eastAsia="Malgun Gothic"/>
          <w:lang w:val="en-US"/>
        </w:rPr>
        <w:t xml:space="preserve"> a smaller RA</w:t>
      </w:r>
      <w:r w:rsidR="006B7E55">
        <w:rPr>
          <w:rFonts w:eastAsia="Malgun Gothic"/>
          <w:lang w:val="en-US"/>
        </w:rPr>
        <w:t>.</w:t>
      </w:r>
      <w:r w:rsidR="00272F18">
        <w:rPr>
          <w:rFonts w:eastAsia="Malgun Gothic"/>
          <w:lang w:val="en-US"/>
        </w:rPr>
        <w:t xml:space="preserve"> </w:t>
      </w:r>
      <w:r w:rsidR="006B7E55">
        <w:rPr>
          <w:rFonts w:eastAsia="Malgun Gothic"/>
          <w:lang w:val="en-US"/>
        </w:rPr>
        <w:t xml:space="preserve">The smaller RA </w:t>
      </w:r>
      <w:r w:rsidR="00DD3666">
        <w:rPr>
          <w:rFonts w:eastAsia="Malgun Gothic"/>
          <w:lang w:val="en-US"/>
        </w:rPr>
        <w:t>would</w:t>
      </w:r>
      <w:r w:rsidR="00272F18">
        <w:rPr>
          <w:rFonts w:eastAsia="Malgun Gothic"/>
          <w:lang w:val="en-US"/>
        </w:rPr>
        <w:t xml:space="preserve"> in turn reduce the </w:t>
      </w:r>
      <w:r w:rsidR="00DD3666">
        <w:rPr>
          <w:rFonts w:eastAsia="Malgun Gothic"/>
          <w:lang w:val="en-US"/>
        </w:rPr>
        <w:t>maximum</w:t>
      </w:r>
      <w:r w:rsidR="00272F18">
        <w:rPr>
          <w:rFonts w:eastAsia="Malgun Gothic"/>
          <w:lang w:val="en-US"/>
        </w:rPr>
        <w:t xml:space="preserve"> </w:t>
      </w:r>
      <w:r w:rsidR="00DD3666">
        <w:rPr>
          <w:rFonts w:eastAsia="Malgun Gothic"/>
          <w:lang w:val="en-US"/>
        </w:rPr>
        <w:t>amount</w:t>
      </w:r>
      <w:r w:rsidR="00272F18">
        <w:rPr>
          <w:rFonts w:eastAsia="Malgun Gothic"/>
          <w:lang w:val="en-US"/>
        </w:rPr>
        <w:t xml:space="preserve"> of paging for a UE. </w:t>
      </w:r>
    </w:p>
    <w:p w14:paraId="10B536C0" w14:textId="3EDFF60C" w:rsidR="00272F18" w:rsidRDefault="006B1515" w:rsidP="00272F18">
      <w:pPr>
        <w:pStyle w:val="EX"/>
        <w:ind w:left="1440" w:hanging="1440"/>
        <w:rPr>
          <w:b/>
          <w:bCs/>
        </w:rPr>
      </w:pPr>
      <w:r>
        <w:rPr>
          <w:b/>
          <w:bCs/>
        </w:rPr>
        <w:t xml:space="preserve">Observation </w:t>
      </w:r>
      <w:r w:rsidR="0078504F">
        <w:rPr>
          <w:b/>
          <w:bCs/>
        </w:rPr>
        <w:t>3</w:t>
      </w:r>
      <w:r>
        <w:rPr>
          <w:b/>
          <w:bCs/>
        </w:rPr>
        <w:tab/>
      </w:r>
      <w:r w:rsidR="00272F18">
        <w:rPr>
          <w:b/>
          <w:bCs/>
        </w:rPr>
        <w:t xml:space="preserve">Option D allows the TA in which a UE is located to be narrowed down </w:t>
      </w:r>
      <w:r>
        <w:rPr>
          <w:b/>
          <w:bCs/>
        </w:rPr>
        <w:t xml:space="preserve">by an AMF with soft TAC switchover </w:t>
      </w:r>
      <w:r w:rsidR="00272F18">
        <w:rPr>
          <w:b/>
          <w:bCs/>
        </w:rPr>
        <w:t xml:space="preserve">to just a few TAs </w:t>
      </w:r>
      <w:r w:rsidR="00C31F91">
        <w:rPr>
          <w:b/>
          <w:bCs/>
        </w:rPr>
        <w:t xml:space="preserve">or even to a single TA </w:t>
      </w:r>
      <w:r w:rsidR="00272F18">
        <w:rPr>
          <w:b/>
          <w:bCs/>
        </w:rPr>
        <w:t xml:space="preserve">over a period </w:t>
      </w:r>
      <w:r>
        <w:rPr>
          <w:b/>
          <w:bCs/>
        </w:rPr>
        <w:t>o</w:t>
      </w:r>
      <w:r w:rsidR="00272F18">
        <w:rPr>
          <w:b/>
          <w:bCs/>
        </w:rPr>
        <w:t>f time for any UE with prolonged 5G</w:t>
      </w:r>
      <w:r w:rsidR="00C31F91">
        <w:rPr>
          <w:b/>
          <w:bCs/>
        </w:rPr>
        <w:t>C</w:t>
      </w:r>
      <w:r w:rsidR="00272F18">
        <w:rPr>
          <w:b/>
          <w:bCs/>
        </w:rPr>
        <w:t xml:space="preserve"> access</w:t>
      </w:r>
      <w:r>
        <w:rPr>
          <w:b/>
          <w:bCs/>
        </w:rPr>
        <w:t>.</w:t>
      </w:r>
    </w:p>
    <w:p w14:paraId="15B05183" w14:textId="1A774D76" w:rsidR="006B7E55" w:rsidRDefault="006B7E55" w:rsidP="006B7E55">
      <w:pPr>
        <w:pStyle w:val="EX"/>
        <w:ind w:left="0" w:firstLine="0"/>
        <w:rPr>
          <w:b/>
          <w:bCs/>
        </w:rPr>
      </w:pPr>
      <w:r>
        <w:rPr>
          <w:rFonts w:eastAsia="Malgun Gothic"/>
          <w:lang w:val="en-US"/>
        </w:rPr>
        <w:t>However, explicit indication of the TA in which a UE is located by a gNB using Option C would avoid the time delay in narrowing down the TA and would thus support UEs which have short access times (e.g. IOT) and would be more accurate for location related applications of the ULI.</w:t>
      </w:r>
    </w:p>
    <w:p w14:paraId="06D7785A" w14:textId="5C1F2E98" w:rsidR="00272F18" w:rsidRDefault="00272F18" w:rsidP="00DD3666">
      <w:pPr>
        <w:pStyle w:val="EX"/>
        <w:ind w:left="1440" w:hanging="1440"/>
        <w:rPr>
          <w:rFonts w:eastAsia="Malgun Gothic"/>
          <w:lang w:val="en-US"/>
        </w:rPr>
      </w:pPr>
      <w:r>
        <w:rPr>
          <w:b/>
          <w:bCs/>
        </w:rPr>
        <w:t xml:space="preserve">Observation </w:t>
      </w:r>
      <w:r w:rsidR="0078504F">
        <w:rPr>
          <w:b/>
          <w:bCs/>
        </w:rPr>
        <w:t>4</w:t>
      </w:r>
      <w:r>
        <w:rPr>
          <w:b/>
          <w:bCs/>
        </w:rPr>
        <w:tab/>
        <w:t xml:space="preserve">Option </w:t>
      </w:r>
      <w:r w:rsidR="00C31F91">
        <w:rPr>
          <w:b/>
          <w:bCs/>
        </w:rPr>
        <w:t>C</w:t>
      </w:r>
      <w:r>
        <w:rPr>
          <w:b/>
          <w:bCs/>
        </w:rPr>
        <w:t xml:space="preserve"> </w:t>
      </w:r>
      <w:r w:rsidRPr="00272F18">
        <w:rPr>
          <w:b/>
          <w:bCs/>
        </w:rPr>
        <w:t>av</w:t>
      </w:r>
      <w:r>
        <w:rPr>
          <w:b/>
          <w:bCs/>
        </w:rPr>
        <w:t>o</w:t>
      </w:r>
      <w:r w:rsidRPr="00272F18">
        <w:rPr>
          <w:b/>
          <w:bCs/>
        </w:rPr>
        <w:t xml:space="preserve">ids </w:t>
      </w:r>
      <w:r>
        <w:rPr>
          <w:b/>
          <w:bCs/>
        </w:rPr>
        <w:t xml:space="preserve">any </w:t>
      </w:r>
      <w:r w:rsidRPr="00272F18">
        <w:rPr>
          <w:b/>
          <w:bCs/>
        </w:rPr>
        <w:t xml:space="preserve">time </w:t>
      </w:r>
      <w:r w:rsidR="00DD3666" w:rsidRPr="00272F18">
        <w:rPr>
          <w:b/>
          <w:bCs/>
        </w:rPr>
        <w:t>delay</w:t>
      </w:r>
      <w:r w:rsidRPr="00272F18">
        <w:rPr>
          <w:b/>
          <w:bCs/>
        </w:rPr>
        <w:t xml:space="preserve"> in </w:t>
      </w:r>
      <w:r w:rsidR="00DD3666">
        <w:rPr>
          <w:b/>
          <w:bCs/>
        </w:rPr>
        <w:t>determining</w:t>
      </w:r>
      <w:r>
        <w:rPr>
          <w:b/>
          <w:bCs/>
        </w:rPr>
        <w:t xml:space="preserve"> </w:t>
      </w:r>
      <w:r w:rsidRPr="00272F18">
        <w:rPr>
          <w:b/>
          <w:bCs/>
        </w:rPr>
        <w:t>a TA</w:t>
      </w:r>
      <w:r>
        <w:rPr>
          <w:b/>
          <w:bCs/>
        </w:rPr>
        <w:t xml:space="preserve"> in </w:t>
      </w:r>
      <w:r w:rsidR="00DD3666">
        <w:rPr>
          <w:b/>
          <w:bCs/>
        </w:rPr>
        <w:t>which</w:t>
      </w:r>
      <w:r>
        <w:rPr>
          <w:b/>
          <w:bCs/>
        </w:rPr>
        <w:t xml:space="preserve"> a UE is located</w:t>
      </w:r>
      <w:r w:rsidR="00C31F91">
        <w:rPr>
          <w:b/>
          <w:bCs/>
        </w:rPr>
        <w:t xml:space="preserve"> and </w:t>
      </w:r>
      <w:r w:rsidRPr="00272F18">
        <w:rPr>
          <w:b/>
          <w:bCs/>
        </w:rPr>
        <w:t xml:space="preserve">would </w:t>
      </w:r>
      <w:r>
        <w:rPr>
          <w:b/>
          <w:bCs/>
        </w:rPr>
        <w:t xml:space="preserve">thus </w:t>
      </w:r>
      <w:r w:rsidRPr="00272F18">
        <w:rPr>
          <w:b/>
          <w:bCs/>
        </w:rPr>
        <w:t>support U</w:t>
      </w:r>
      <w:r>
        <w:rPr>
          <w:b/>
          <w:bCs/>
        </w:rPr>
        <w:t>Es</w:t>
      </w:r>
      <w:r w:rsidRPr="00272F18">
        <w:rPr>
          <w:b/>
          <w:bCs/>
        </w:rPr>
        <w:t xml:space="preserve"> wh</w:t>
      </w:r>
      <w:r>
        <w:rPr>
          <w:b/>
          <w:bCs/>
        </w:rPr>
        <w:t>i</w:t>
      </w:r>
      <w:r w:rsidRPr="00272F18">
        <w:rPr>
          <w:b/>
          <w:bCs/>
        </w:rPr>
        <w:t>ch</w:t>
      </w:r>
      <w:r>
        <w:rPr>
          <w:b/>
          <w:bCs/>
        </w:rPr>
        <w:t xml:space="preserve"> </w:t>
      </w:r>
      <w:r w:rsidRPr="00272F18">
        <w:rPr>
          <w:b/>
          <w:bCs/>
        </w:rPr>
        <w:t>have sh</w:t>
      </w:r>
      <w:r>
        <w:rPr>
          <w:b/>
          <w:bCs/>
        </w:rPr>
        <w:t>o</w:t>
      </w:r>
      <w:r w:rsidRPr="00272F18">
        <w:rPr>
          <w:b/>
          <w:bCs/>
        </w:rPr>
        <w:t>rt access times (</w:t>
      </w:r>
      <w:r w:rsidR="00C31F91">
        <w:rPr>
          <w:b/>
          <w:bCs/>
        </w:rPr>
        <w:t xml:space="preserve">e.g. for </w:t>
      </w:r>
      <w:r w:rsidRPr="00272F18">
        <w:rPr>
          <w:b/>
          <w:bCs/>
        </w:rPr>
        <w:t xml:space="preserve">IOT) and would be </w:t>
      </w:r>
      <w:r>
        <w:rPr>
          <w:b/>
          <w:bCs/>
        </w:rPr>
        <w:t xml:space="preserve">more </w:t>
      </w:r>
      <w:r w:rsidRPr="00272F18">
        <w:rPr>
          <w:b/>
          <w:bCs/>
        </w:rPr>
        <w:t>accurate for location related applications of the ULI</w:t>
      </w:r>
      <w:r w:rsidR="006B1515">
        <w:rPr>
          <w:b/>
          <w:bCs/>
        </w:rPr>
        <w:t>.</w:t>
      </w:r>
    </w:p>
    <w:p w14:paraId="4A522408" w14:textId="399C6E11" w:rsidR="00507253" w:rsidRPr="00B04F6F" w:rsidRDefault="007D2A11" w:rsidP="00507253">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3</w:t>
      </w:r>
      <w:r w:rsidR="00507253" w:rsidRPr="006773A0">
        <w:rPr>
          <w:rFonts w:ascii="Arial" w:eastAsia="Malgun Gothic" w:hAnsi="Arial"/>
          <w:sz w:val="32"/>
        </w:rPr>
        <w:t xml:space="preserve">. </w:t>
      </w:r>
      <w:r>
        <w:rPr>
          <w:rFonts w:ascii="Arial" w:eastAsia="Malgun Gothic" w:hAnsi="Arial"/>
          <w:sz w:val="32"/>
        </w:rPr>
        <w:t xml:space="preserve">Support of </w:t>
      </w:r>
      <w:r w:rsidR="00C31F91">
        <w:rPr>
          <w:rFonts w:ascii="Arial" w:eastAsia="Malgun Gothic" w:hAnsi="Arial"/>
          <w:sz w:val="32"/>
        </w:rPr>
        <w:t>Forbidden Areas (</w:t>
      </w:r>
      <w:r>
        <w:rPr>
          <w:rFonts w:ascii="Arial" w:eastAsia="Malgun Gothic" w:hAnsi="Arial"/>
          <w:sz w:val="32"/>
        </w:rPr>
        <w:t>FAs</w:t>
      </w:r>
      <w:r w:rsidR="00C31F91">
        <w:rPr>
          <w:rFonts w:ascii="Arial" w:eastAsia="Malgun Gothic" w:hAnsi="Arial"/>
          <w:sz w:val="32"/>
        </w:rPr>
        <w:t>)</w:t>
      </w:r>
      <w:r>
        <w:rPr>
          <w:rFonts w:ascii="Arial" w:eastAsia="Malgun Gothic" w:hAnsi="Arial"/>
          <w:sz w:val="32"/>
        </w:rPr>
        <w:t xml:space="preserve"> and </w:t>
      </w:r>
      <w:r w:rsidR="00C31F91">
        <w:rPr>
          <w:rFonts w:ascii="Arial" w:eastAsia="Malgun Gothic" w:hAnsi="Arial"/>
          <w:sz w:val="32"/>
        </w:rPr>
        <w:t>Service Areas (</w:t>
      </w:r>
      <w:r>
        <w:rPr>
          <w:rFonts w:ascii="Arial" w:eastAsia="Malgun Gothic" w:hAnsi="Arial"/>
          <w:sz w:val="32"/>
        </w:rPr>
        <w:t>SAs</w:t>
      </w:r>
      <w:r w:rsidR="00C31F91">
        <w:rPr>
          <w:rFonts w:ascii="Arial" w:eastAsia="Malgun Gothic" w:hAnsi="Arial"/>
          <w:sz w:val="32"/>
        </w:rPr>
        <w:t>)</w:t>
      </w:r>
    </w:p>
    <w:p w14:paraId="5FDA44AD" w14:textId="01D86980" w:rsidR="00DF37B6" w:rsidRDefault="007D2A11" w:rsidP="00717F14">
      <w:pPr>
        <w:jc w:val="both"/>
        <w:rPr>
          <w:rFonts w:eastAsia="Malgun Gothic"/>
        </w:rPr>
      </w:pPr>
      <w:bookmarkStart w:id="10" w:name="_Hlk51968268"/>
      <w:r>
        <w:rPr>
          <w:rFonts w:eastAsia="Malgun Gothic"/>
        </w:rPr>
        <w:t>At SA2#147, it was suggested to support FAs and SAs using the following rules a</w:t>
      </w:r>
      <w:r w:rsidR="00295334">
        <w:rPr>
          <w:rFonts w:eastAsia="Malgun Gothic"/>
        </w:rPr>
        <w:t>dd</w:t>
      </w:r>
      <w:r>
        <w:rPr>
          <w:rFonts w:eastAsia="Malgun Gothic"/>
        </w:rPr>
        <w:t>itional to those used for TN.</w:t>
      </w:r>
    </w:p>
    <w:p w14:paraId="77D9D40D" w14:textId="28775C36" w:rsidR="00295334" w:rsidRDefault="00295334" w:rsidP="00295334">
      <w:pPr>
        <w:ind w:left="1440" w:hanging="1156"/>
        <w:jc w:val="both"/>
        <w:rPr>
          <w:rFonts w:eastAsia="Malgun Gothic"/>
        </w:rPr>
      </w:pPr>
      <w:r>
        <w:rPr>
          <w:rFonts w:eastAsia="Malgun Gothic"/>
        </w:rPr>
        <w:t>Rule 1</w:t>
      </w:r>
      <w:r>
        <w:rPr>
          <w:rFonts w:eastAsia="Malgun Gothic"/>
        </w:rPr>
        <w:tab/>
      </w:r>
      <w:r w:rsidRPr="00295334">
        <w:rPr>
          <w:rFonts w:eastAsia="Malgun Gothic"/>
        </w:rPr>
        <w:t>Both an AMF and a UE shall consider that a radio cell is allowed for the UE as long as at least one TAC supported by the radio cell for the RPLMN or equivalent to the RPLMN is not subject to a known restriction for a forbidden area, service area or RAT type.</w:t>
      </w:r>
    </w:p>
    <w:p w14:paraId="3D25C240" w14:textId="34E9D93F" w:rsidR="00F540D5" w:rsidRDefault="00295334" w:rsidP="00F540D5">
      <w:pPr>
        <w:ind w:left="1440" w:hanging="1156"/>
        <w:jc w:val="both"/>
        <w:rPr>
          <w:rFonts w:eastAsia="Malgun Gothic"/>
        </w:rPr>
      </w:pPr>
      <w:r>
        <w:rPr>
          <w:rFonts w:eastAsia="Malgun Gothic"/>
        </w:rPr>
        <w:t>Rule 2</w:t>
      </w:r>
      <w:r>
        <w:rPr>
          <w:rFonts w:eastAsia="Malgun Gothic"/>
        </w:rPr>
        <w:tab/>
      </w:r>
      <w:r w:rsidRPr="00295334">
        <w:rPr>
          <w:rFonts w:eastAsia="Malgun Gothic"/>
        </w:rPr>
        <w:t>When receiving a NAS Reject message from an AMF indicating a forbidden area, and where the serving radio cell indicates support for more than one TAC for the RPLMN or equivalent to the RPLMN, a UE shall consider that all TACs indicated by the radio cell for the RPLMN or equivalent to the RPLMN are forbidden.</w:t>
      </w:r>
    </w:p>
    <w:p w14:paraId="69A88E55" w14:textId="0CBFCB60" w:rsidR="00F540D5" w:rsidRDefault="00F540D5" w:rsidP="00F540D5">
      <w:pPr>
        <w:ind w:left="2272" w:firstLine="284"/>
        <w:jc w:val="both"/>
        <w:rPr>
          <w:rFonts w:eastAsia="Malgun Gothic"/>
        </w:rPr>
      </w:pPr>
      <w:r>
        <w:rPr>
          <w:rFonts w:eastAsia="Malgun Gothic"/>
        </w:rPr>
        <w:object w:dxaOrig="6150" w:dyaOrig="6620" w14:anchorId="0C073521">
          <v:shape id="_x0000_i1026" type="#_x0000_t75" style="width:231.05pt;height:234.7pt" o:ole="">
            <v:imagedata r:id="rId14" o:title=""/>
          </v:shape>
          <o:OLEObject Type="Embed" ProgID="Visio.Drawing.15" ShapeID="_x0000_i1026" DrawAspect="Content" ObjectID="_1697832627" r:id="rId15"/>
        </w:object>
      </w:r>
    </w:p>
    <w:p w14:paraId="63FB0611" w14:textId="26F53BAF" w:rsidR="00F540D5" w:rsidRDefault="00F540D5" w:rsidP="00F540D5">
      <w:pPr>
        <w:jc w:val="center"/>
        <w:rPr>
          <w:rFonts w:eastAsia="Malgun Gothic"/>
          <w:lang w:val="en-US"/>
        </w:rPr>
      </w:pPr>
      <w:r>
        <w:rPr>
          <w:rFonts w:eastAsia="Malgun Gothic"/>
          <w:b/>
          <w:bCs/>
          <w:lang w:val="en-US"/>
        </w:rPr>
        <w:t xml:space="preserve">Figure 2 –Sporadic UE Access to a Forbidden Area </w:t>
      </w:r>
    </w:p>
    <w:p w14:paraId="11D55ABB" w14:textId="4A1B00E7" w:rsidR="00295334" w:rsidRDefault="00295334" w:rsidP="00295334">
      <w:pPr>
        <w:jc w:val="both"/>
        <w:rPr>
          <w:rFonts w:eastAsia="Malgun Gothic"/>
        </w:rPr>
      </w:pPr>
      <w:r>
        <w:rPr>
          <w:rFonts w:eastAsia="Malgun Gothic"/>
        </w:rPr>
        <w:t xml:space="preserve">Rule 1 </w:t>
      </w:r>
      <w:r w:rsidR="003F6455">
        <w:rPr>
          <w:rFonts w:eastAsia="Malgun Gothic"/>
        </w:rPr>
        <w:t>can be supported at an AMF using Option D</w:t>
      </w:r>
      <w:r w:rsidR="002A6582">
        <w:rPr>
          <w:rFonts w:eastAsia="Malgun Gothic"/>
        </w:rPr>
        <w:t xml:space="preserve"> (or Option C+D)</w:t>
      </w:r>
      <w:r w:rsidR="003F6455">
        <w:rPr>
          <w:rFonts w:eastAsia="Malgun Gothic"/>
        </w:rPr>
        <w:t xml:space="preserve"> and avoids violating a UE subscribed service area by </w:t>
      </w:r>
      <w:r>
        <w:rPr>
          <w:rFonts w:eastAsia="Malgun Gothic"/>
        </w:rPr>
        <w:t xml:space="preserve">allowing access by a UE to </w:t>
      </w:r>
      <w:r w:rsidR="003F6455">
        <w:rPr>
          <w:rFonts w:eastAsia="Malgun Gothic"/>
        </w:rPr>
        <w:t xml:space="preserve">a </w:t>
      </w:r>
      <w:r>
        <w:rPr>
          <w:rFonts w:eastAsia="Malgun Gothic"/>
        </w:rPr>
        <w:t xml:space="preserve">radio cell </w:t>
      </w:r>
      <w:r w:rsidR="003F6455">
        <w:rPr>
          <w:rFonts w:eastAsia="Malgun Gothic"/>
        </w:rPr>
        <w:t xml:space="preserve">whenever the UE is located in </w:t>
      </w:r>
      <w:r w:rsidR="002A6582">
        <w:rPr>
          <w:rFonts w:eastAsia="Malgun Gothic"/>
        </w:rPr>
        <w:t>its allowed</w:t>
      </w:r>
      <w:r w:rsidR="003F6455">
        <w:rPr>
          <w:rFonts w:eastAsia="Malgun Gothic"/>
        </w:rPr>
        <w:t xml:space="preserve"> service area so long as the </w:t>
      </w:r>
      <w:r w:rsidR="00DD3666">
        <w:rPr>
          <w:rFonts w:eastAsia="Malgun Gothic"/>
        </w:rPr>
        <w:t>radio</w:t>
      </w:r>
      <w:r w:rsidR="003F6455">
        <w:rPr>
          <w:rFonts w:eastAsia="Malgun Gothic"/>
        </w:rPr>
        <w:t xml:space="preserve"> cell broadcasts the TAC for the TA in which the UE is located. However, </w:t>
      </w:r>
      <w:r>
        <w:rPr>
          <w:rFonts w:eastAsia="Malgun Gothic"/>
        </w:rPr>
        <w:t xml:space="preserve">a UE would be able to enter a </w:t>
      </w:r>
      <w:r w:rsidR="00DD3666">
        <w:rPr>
          <w:rFonts w:eastAsia="Malgun Gothic"/>
        </w:rPr>
        <w:t>forbidden</w:t>
      </w:r>
      <w:r>
        <w:rPr>
          <w:rFonts w:eastAsia="Malgun Gothic"/>
        </w:rPr>
        <w:t xml:space="preserve"> area and still have sporadic access t</w:t>
      </w:r>
      <w:r w:rsidR="003F6455">
        <w:rPr>
          <w:rFonts w:eastAsia="Malgun Gothic"/>
        </w:rPr>
        <w:t>o</w:t>
      </w:r>
      <w:r>
        <w:rPr>
          <w:rFonts w:eastAsia="Malgun Gothic"/>
        </w:rPr>
        <w:t xml:space="preserve"> radio cells as long as the UE remains near </w:t>
      </w:r>
      <w:r w:rsidR="00DD3666">
        <w:rPr>
          <w:rFonts w:eastAsia="Malgun Gothic"/>
        </w:rPr>
        <w:t>enough</w:t>
      </w:r>
      <w:r>
        <w:rPr>
          <w:rFonts w:eastAsia="Malgun Gothic"/>
        </w:rPr>
        <w:t xml:space="preserve"> to an allowed area that a radio cell providing </w:t>
      </w:r>
      <w:r w:rsidR="00DD3666">
        <w:rPr>
          <w:rFonts w:eastAsia="Malgun Gothic"/>
        </w:rPr>
        <w:t>coverage</w:t>
      </w:r>
      <w:r>
        <w:rPr>
          <w:rFonts w:eastAsia="Malgun Gothic"/>
        </w:rPr>
        <w:t xml:space="preserve"> to the UE still covers part of the allowed area. This is </w:t>
      </w:r>
      <w:r w:rsidR="00DD3666">
        <w:rPr>
          <w:rFonts w:eastAsia="Malgun Gothic"/>
        </w:rPr>
        <w:t>illustrated</w:t>
      </w:r>
      <w:r>
        <w:rPr>
          <w:rFonts w:eastAsia="Malgun Gothic"/>
        </w:rPr>
        <w:t xml:space="preserve"> in </w:t>
      </w:r>
      <w:r w:rsidR="00DD3666">
        <w:rPr>
          <w:rFonts w:eastAsia="Malgun Gothic"/>
        </w:rPr>
        <w:t>Figure</w:t>
      </w:r>
      <w:r>
        <w:rPr>
          <w:rFonts w:eastAsia="Malgun Gothic"/>
        </w:rPr>
        <w:t xml:space="preserve"> 2 which shows a radio cell </w:t>
      </w:r>
      <w:r w:rsidR="00DD3666">
        <w:rPr>
          <w:rFonts w:eastAsia="Malgun Gothic"/>
        </w:rPr>
        <w:t>moving</w:t>
      </w:r>
      <w:r>
        <w:rPr>
          <w:rFonts w:eastAsia="Malgun Gothic"/>
        </w:rPr>
        <w:t xml:space="preserve"> from left to right from an </w:t>
      </w:r>
      <w:r w:rsidR="00DD3666">
        <w:rPr>
          <w:rFonts w:eastAsia="Malgun Gothic"/>
        </w:rPr>
        <w:t>allowed</w:t>
      </w:r>
      <w:r>
        <w:rPr>
          <w:rFonts w:eastAsia="Malgun Gothic"/>
        </w:rPr>
        <w:t xml:space="preserve"> area for a UE into a forbidden area for the UE. A</w:t>
      </w:r>
      <w:r w:rsidR="003F6455">
        <w:rPr>
          <w:rFonts w:eastAsia="Malgun Gothic"/>
        </w:rPr>
        <w:t>t</w:t>
      </w:r>
      <w:r>
        <w:rPr>
          <w:rFonts w:eastAsia="Malgun Gothic"/>
        </w:rPr>
        <w:t xml:space="preserve"> time T1, while the cell still partially covers the allowed area, the UE would be allowed access to the radio cell. </w:t>
      </w:r>
      <w:r w:rsidR="003F6455">
        <w:rPr>
          <w:rFonts w:eastAsia="Malgun Gothic"/>
        </w:rPr>
        <w:t>A</w:t>
      </w:r>
      <w:r>
        <w:rPr>
          <w:rFonts w:eastAsia="Malgun Gothic"/>
        </w:rPr>
        <w:t xml:space="preserve">t time T2, after the radio cell has </w:t>
      </w:r>
      <w:r w:rsidR="00DD3666">
        <w:rPr>
          <w:rFonts w:eastAsia="Malgun Gothic"/>
        </w:rPr>
        <w:t>fully</w:t>
      </w:r>
      <w:r>
        <w:rPr>
          <w:rFonts w:eastAsia="Malgun Gothic"/>
        </w:rPr>
        <w:t xml:space="preserve"> moved into the forbidden area, the UE </w:t>
      </w:r>
      <w:r w:rsidR="00DD3666">
        <w:rPr>
          <w:rFonts w:eastAsia="Malgun Gothic"/>
        </w:rPr>
        <w:t>would</w:t>
      </w:r>
      <w:r>
        <w:rPr>
          <w:rFonts w:eastAsia="Malgun Gothic"/>
        </w:rPr>
        <w:t xml:space="preserve"> no longer be </w:t>
      </w:r>
      <w:r w:rsidR="00DD3666">
        <w:rPr>
          <w:rFonts w:eastAsia="Malgun Gothic"/>
        </w:rPr>
        <w:t>allowed</w:t>
      </w:r>
      <w:r>
        <w:rPr>
          <w:rFonts w:eastAsia="Malgun Gothic"/>
        </w:rPr>
        <w:t xml:space="preserve"> access to the radio cell. Such f</w:t>
      </w:r>
      <w:r w:rsidR="00DD3666">
        <w:rPr>
          <w:rFonts w:eastAsia="Malgun Gothic"/>
        </w:rPr>
        <w:t>l</w:t>
      </w:r>
      <w:r>
        <w:rPr>
          <w:rFonts w:eastAsia="Malgun Gothic"/>
        </w:rPr>
        <w:t xml:space="preserve">uctuation of radio cell access by a UE would not occur for TN. However, it should only </w:t>
      </w:r>
      <w:r w:rsidR="00DD3666">
        <w:rPr>
          <w:rFonts w:eastAsia="Malgun Gothic"/>
        </w:rPr>
        <w:t>occur</w:t>
      </w:r>
      <w:r>
        <w:rPr>
          <w:rFonts w:eastAsia="Malgun Gothic"/>
        </w:rPr>
        <w:t xml:space="preserve"> </w:t>
      </w:r>
      <w:r w:rsidR="00DD3666">
        <w:rPr>
          <w:rFonts w:eastAsia="Malgun Gothic"/>
        </w:rPr>
        <w:t>within</w:t>
      </w:r>
      <w:r>
        <w:rPr>
          <w:rFonts w:eastAsia="Malgun Gothic"/>
        </w:rPr>
        <w:t xml:space="preserve"> a forbidden area and hence would not violate </w:t>
      </w:r>
      <w:r w:rsidR="003F6455">
        <w:rPr>
          <w:rFonts w:eastAsia="Malgun Gothic"/>
        </w:rPr>
        <w:t xml:space="preserve">service </w:t>
      </w:r>
      <w:r w:rsidR="00DD3666">
        <w:rPr>
          <w:rFonts w:eastAsia="Malgun Gothic"/>
        </w:rPr>
        <w:t>subscription</w:t>
      </w:r>
      <w:r w:rsidR="00396142">
        <w:rPr>
          <w:rFonts w:eastAsia="Malgun Gothic"/>
        </w:rPr>
        <w:t xml:space="preserve"> by a UE to an allowed area. </w:t>
      </w:r>
      <w:r w:rsidR="003F6455">
        <w:rPr>
          <w:rFonts w:eastAsia="Malgun Gothic"/>
        </w:rPr>
        <w:t xml:space="preserve">This </w:t>
      </w:r>
      <w:r w:rsidR="00396142">
        <w:rPr>
          <w:rFonts w:eastAsia="Malgun Gothic"/>
        </w:rPr>
        <w:t xml:space="preserve">will enable an </w:t>
      </w:r>
      <w:r w:rsidR="00DD3666">
        <w:rPr>
          <w:rFonts w:eastAsia="Malgun Gothic"/>
        </w:rPr>
        <w:t>operator</w:t>
      </w:r>
      <w:r w:rsidR="00396142">
        <w:rPr>
          <w:rFonts w:eastAsia="Malgun Gothic"/>
        </w:rPr>
        <w:t xml:space="preserve"> </w:t>
      </w:r>
      <w:r w:rsidR="003F6455">
        <w:rPr>
          <w:rFonts w:eastAsia="Malgun Gothic"/>
        </w:rPr>
        <w:t>to</w:t>
      </w:r>
      <w:r w:rsidR="00DD3666">
        <w:rPr>
          <w:rFonts w:eastAsia="Malgun Gothic"/>
        </w:rPr>
        <w:t xml:space="preserve"> </w:t>
      </w:r>
      <w:r w:rsidR="003F6455">
        <w:rPr>
          <w:rFonts w:eastAsia="Malgun Gothic"/>
        </w:rPr>
        <w:t xml:space="preserve">approximate TN </w:t>
      </w:r>
      <w:r w:rsidR="00396142">
        <w:rPr>
          <w:rFonts w:eastAsia="Malgun Gothic"/>
        </w:rPr>
        <w:t>service area supp</w:t>
      </w:r>
      <w:r w:rsidR="00DD3666">
        <w:rPr>
          <w:rFonts w:eastAsia="Malgun Gothic"/>
        </w:rPr>
        <w:t>o</w:t>
      </w:r>
      <w:r w:rsidR="00396142">
        <w:rPr>
          <w:rFonts w:eastAsia="Malgun Gothic"/>
        </w:rPr>
        <w:t>rt for a UE</w:t>
      </w:r>
      <w:r w:rsidR="003F6455">
        <w:rPr>
          <w:rFonts w:eastAsia="Malgun Gothic"/>
        </w:rPr>
        <w:t xml:space="preserve"> which may be </w:t>
      </w:r>
      <w:r w:rsidR="00DD3666">
        <w:rPr>
          <w:rFonts w:eastAsia="Malgun Gothic"/>
        </w:rPr>
        <w:t>better</w:t>
      </w:r>
      <w:r w:rsidR="003F6455">
        <w:rPr>
          <w:rFonts w:eastAsia="Malgun Gothic"/>
        </w:rPr>
        <w:t xml:space="preserve"> than having no </w:t>
      </w:r>
      <w:r w:rsidR="00DD3666">
        <w:rPr>
          <w:rFonts w:eastAsia="Malgun Gothic"/>
        </w:rPr>
        <w:t>support</w:t>
      </w:r>
      <w:r w:rsidR="003F6455">
        <w:rPr>
          <w:rFonts w:eastAsia="Malgun Gothic"/>
        </w:rPr>
        <w:t xml:space="preserve"> </w:t>
      </w:r>
      <w:r w:rsidR="00DD3666">
        <w:rPr>
          <w:rFonts w:eastAsia="Malgun Gothic"/>
        </w:rPr>
        <w:t>for</w:t>
      </w:r>
      <w:r w:rsidR="003F6455">
        <w:rPr>
          <w:rFonts w:eastAsia="Malgun Gothic"/>
        </w:rPr>
        <w:t xml:space="preserve"> </w:t>
      </w:r>
      <w:r w:rsidR="00DD3666">
        <w:rPr>
          <w:rFonts w:eastAsia="Malgun Gothic"/>
        </w:rPr>
        <w:t>service</w:t>
      </w:r>
      <w:r w:rsidR="003F6455">
        <w:rPr>
          <w:rFonts w:eastAsia="Malgun Gothic"/>
        </w:rPr>
        <w:t xml:space="preserve"> areas and forbidden areas and allowing UEs </w:t>
      </w:r>
      <w:r w:rsidR="00395B4D">
        <w:rPr>
          <w:rFonts w:eastAsia="Malgun Gothic"/>
        </w:rPr>
        <w:t>complete NR satellite access from everywhere in a PLMN country</w:t>
      </w:r>
      <w:r w:rsidR="00396142">
        <w:rPr>
          <w:rFonts w:eastAsia="Malgun Gothic"/>
        </w:rPr>
        <w:t xml:space="preserve">. </w:t>
      </w:r>
    </w:p>
    <w:p w14:paraId="15B41449" w14:textId="77777777" w:rsidR="00395B4D" w:rsidRDefault="00395B4D" w:rsidP="00395B4D">
      <w:pPr>
        <w:jc w:val="both"/>
        <w:rPr>
          <w:rFonts w:eastAsia="Malgun Gothic"/>
          <w:lang w:val="en-US"/>
        </w:rPr>
      </w:pPr>
      <w:r>
        <w:rPr>
          <w:rFonts w:eastAsia="Malgun Gothic"/>
        </w:rPr>
        <w:t xml:space="preserve">Rule 2 is consistent with Rule 1 and a simple extension of the current rule for determining forbidden TAs with TN and allows a UE to identify TAs which are forbidden. </w:t>
      </w:r>
    </w:p>
    <w:p w14:paraId="62A74AD3" w14:textId="5E06ED91" w:rsidR="00DD3666" w:rsidRDefault="00395B4D" w:rsidP="00DD3666">
      <w:pPr>
        <w:pStyle w:val="EX"/>
        <w:ind w:left="1440" w:hanging="1440"/>
        <w:rPr>
          <w:rFonts w:eastAsia="Malgun Gothic"/>
          <w:lang w:val="en-US"/>
        </w:rPr>
      </w:pPr>
      <w:r w:rsidRPr="00273B9B">
        <w:rPr>
          <w:b/>
          <w:bCs/>
        </w:rPr>
        <w:t xml:space="preserve">Observation </w:t>
      </w:r>
      <w:r w:rsidR="0078504F">
        <w:rPr>
          <w:b/>
          <w:bCs/>
        </w:rPr>
        <w:t>5</w:t>
      </w:r>
      <w:r w:rsidRPr="00273B9B">
        <w:rPr>
          <w:b/>
          <w:bCs/>
        </w:rPr>
        <w:tab/>
      </w:r>
      <w:r>
        <w:rPr>
          <w:b/>
          <w:bCs/>
        </w:rPr>
        <w:t xml:space="preserve">SAs and FAs can be supported using </w:t>
      </w:r>
      <w:r w:rsidR="002A6582">
        <w:rPr>
          <w:b/>
          <w:bCs/>
        </w:rPr>
        <w:t xml:space="preserve">Option D (and Option C+D) </w:t>
      </w:r>
      <w:r>
        <w:rPr>
          <w:b/>
          <w:bCs/>
        </w:rPr>
        <w:t xml:space="preserve">in </w:t>
      </w:r>
      <w:r w:rsidR="002A6582">
        <w:rPr>
          <w:b/>
          <w:bCs/>
        </w:rPr>
        <w:t xml:space="preserve">a </w:t>
      </w:r>
      <w:r>
        <w:rPr>
          <w:b/>
          <w:bCs/>
        </w:rPr>
        <w:t xml:space="preserve">manner that approximates TN </w:t>
      </w:r>
      <w:r w:rsidR="00DD3666">
        <w:rPr>
          <w:b/>
          <w:bCs/>
        </w:rPr>
        <w:t>support</w:t>
      </w:r>
      <w:r>
        <w:rPr>
          <w:b/>
          <w:bCs/>
        </w:rPr>
        <w:t xml:space="preserve"> and avoids violating a UE </w:t>
      </w:r>
      <w:r w:rsidR="00DD3666">
        <w:rPr>
          <w:b/>
          <w:bCs/>
        </w:rPr>
        <w:t>subscription</w:t>
      </w:r>
      <w:r>
        <w:rPr>
          <w:b/>
          <w:bCs/>
        </w:rPr>
        <w:t xml:space="preserve"> to </w:t>
      </w:r>
      <w:r w:rsidR="002A6582">
        <w:rPr>
          <w:b/>
          <w:bCs/>
        </w:rPr>
        <w:t xml:space="preserve">allowed </w:t>
      </w:r>
      <w:r>
        <w:rPr>
          <w:b/>
          <w:bCs/>
        </w:rPr>
        <w:t xml:space="preserve">service areas. However, a UE would be able to obtain sporadic PLMN access when inside a forbidden area from radio cells with coverage of an allowed UE area. PLMN operators can </w:t>
      </w:r>
      <w:r w:rsidR="00590A08">
        <w:rPr>
          <w:b/>
          <w:bCs/>
        </w:rPr>
        <w:t xml:space="preserve">then </w:t>
      </w:r>
      <w:r w:rsidR="00DD3666">
        <w:rPr>
          <w:b/>
          <w:bCs/>
        </w:rPr>
        <w:t>decide</w:t>
      </w:r>
      <w:r>
        <w:rPr>
          <w:b/>
          <w:bCs/>
        </w:rPr>
        <w:t xml:space="preserve"> </w:t>
      </w:r>
      <w:r w:rsidR="00DD3666">
        <w:rPr>
          <w:b/>
          <w:bCs/>
        </w:rPr>
        <w:t>whether</w:t>
      </w:r>
      <w:r>
        <w:rPr>
          <w:b/>
          <w:bCs/>
        </w:rPr>
        <w:t xml:space="preserve"> </w:t>
      </w:r>
      <w:r w:rsidR="00590A08">
        <w:rPr>
          <w:b/>
          <w:bCs/>
        </w:rPr>
        <w:t xml:space="preserve">to make use of SAs and FAs with </w:t>
      </w:r>
      <w:r>
        <w:rPr>
          <w:b/>
          <w:bCs/>
        </w:rPr>
        <w:t xml:space="preserve">this </w:t>
      </w:r>
      <w:r w:rsidR="00590A08">
        <w:rPr>
          <w:b/>
          <w:bCs/>
        </w:rPr>
        <w:t xml:space="preserve">limitation or not use SAs and FAs and </w:t>
      </w:r>
      <w:r>
        <w:rPr>
          <w:b/>
          <w:bCs/>
        </w:rPr>
        <w:t xml:space="preserve">allow </w:t>
      </w:r>
      <w:r w:rsidR="002A6582">
        <w:rPr>
          <w:b/>
          <w:bCs/>
        </w:rPr>
        <w:t>N</w:t>
      </w:r>
      <w:r>
        <w:rPr>
          <w:b/>
          <w:bCs/>
        </w:rPr>
        <w:t xml:space="preserve">R </w:t>
      </w:r>
      <w:r w:rsidR="00DD3666">
        <w:rPr>
          <w:b/>
          <w:bCs/>
        </w:rPr>
        <w:t>satellite</w:t>
      </w:r>
      <w:r>
        <w:rPr>
          <w:b/>
          <w:bCs/>
        </w:rPr>
        <w:t xml:space="preserve"> access by a UE</w:t>
      </w:r>
      <w:r w:rsidR="002A6582">
        <w:rPr>
          <w:b/>
          <w:bCs/>
        </w:rPr>
        <w:t xml:space="preserve"> from everywhere in a PLMN country</w:t>
      </w:r>
      <w:r>
        <w:rPr>
          <w:b/>
          <w:bCs/>
        </w:rPr>
        <w:t>.</w:t>
      </w:r>
    </w:p>
    <w:p w14:paraId="46EE5EC3" w14:textId="34FAC731" w:rsidR="00DD3666" w:rsidRPr="00B04F6F" w:rsidRDefault="00DD3666" w:rsidP="00DD3666">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4</w:t>
      </w:r>
      <w:r w:rsidRPr="006773A0">
        <w:rPr>
          <w:rFonts w:ascii="Arial" w:eastAsia="Malgun Gothic" w:hAnsi="Arial"/>
          <w:sz w:val="32"/>
        </w:rPr>
        <w:t xml:space="preserve">. </w:t>
      </w:r>
      <w:r>
        <w:rPr>
          <w:rFonts w:ascii="Arial" w:eastAsia="Malgun Gothic" w:hAnsi="Arial"/>
          <w:sz w:val="32"/>
        </w:rPr>
        <w:t>Conclusions</w:t>
      </w:r>
    </w:p>
    <w:p w14:paraId="49983B93" w14:textId="58EEF3ED" w:rsidR="0078504F" w:rsidRDefault="00DD3666" w:rsidP="0078504F">
      <w:pPr>
        <w:jc w:val="both"/>
        <w:rPr>
          <w:rFonts w:eastAsia="Malgun Gothic"/>
          <w:lang w:val="en-US"/>
        </w:rPr>
      </w:pPr>
      <w:r>
        <w:rPr>
          <w:rFonts w:eastAsia="Malgun Gothic"/>
        </w:rPr>
        <w:t>The following observations were made.</w:t>
      </w:r>
    </w:p>
    <w:p w14:paraId="20543BD9" w14:textId="6962CFE8" w:rsidR="0078504F" w:rsidRDefault="0078504F" w:rsidP="002A6582">
      <w:pPr>
        <w:pStyle w:val="EX"/>
        <w:ind w:left="1440" w:hanging="1440"/>
        <w:rPr>
          <w:b/>
          <w:bCs/>
        </w:rPr>
      </w:pPr>
      <w:r w:rsidRPr="00273B9B">
        <w:rPr>
          <w:b/>
          <w:bCs/>
        </w:rPr>
        <w:t xml:space="preserve">Observation </w:t>
      </w:r>
      <w:r>
        <w:rPr>
          <w:b/>
          <w:bCs/>
        </w:rPr>
        <w:t>1</w:t>
      </w:r>
      <w:r w:rsidRPr="00273B9B">
        <w:rPr>
          <w:b/>
          <w:bCs/>
        </w:rPr>
        <w:tab/>
      </w:r>
      <w:r>
        <w:rPr>
          <w:b/>
          <w:bCs/>
        </w:rPr>
        <w:t>Option C+D applies equally to both hard and soft TAC switchover.</w:t>
      </w:r>
    </w:p>
    <w:p w14:paraId="09D4B745" w14:textId="324FE05F" w:rsidR="002A6582" w:rsidRDefault="002A6582" w:rsidP="002A6582">
      <w:pPr>
        <w:pStyle w:val="EX"/>
        <w:ind w:left="1440" w:hanging="1440"/>
        <w:rPr>
          <w:rFonts w:eastAsia="Malgun Gothic"/>
          <w:lang w:val="en-US"/>
        </w:rPr>
      </w:pPr>
      <w:r w:rsidRPr="00273B9B">
        <w:rPr>
          <w:b/>
          <w:bCs/>
        </w:rPr>
        <w:t xml:space="preserve">Observation </w:t>
      </w:r>
      <w:r w:rsidR="0078504F">
        <w:rPr>
          <w:b/>
          <w:bCs/>
        </w:rPr>
        <w:t>2</w:t>
      </w:r>
      <w:r w:rsidRPr="00273B9B">
        <w:rPr>
          <w:b/>
          <w:bCs/>
        </w:rPr>
        <w:tab/>
      </w:r>
      <w:r>
        <w:rPr>
          <w:b/>
          <w:bCs/>
        </w:rPr>
        <w:t>Option D does not allow the TA in which a UE is located to be determined by an AMF with hard TAC switchover.</w:t>
      </w:r>
    </w:p>
    <w:p w14:paraId="54C67425" w14:textId="0F1EB0F8" w:rsidR="002A6582" w:rsidRDefault="002A6582" w:rsidP="002A6582">
      <w:pPr>
        <w:pStyle w:val="EX"/>
        <w:ind w:left="1440" w:hanging="1440"/>
        <w:rPr>
          <w:b/>
          <w:bCs/>
        </w:rPr>
      </w:pPr>
      <w:r>
        <w:rPr>
          <w:b/>
          <w:bCs/>
        </w:rPr>
        <w:t xml:space="preserve">Observation </w:t>
      </w:r>
      <w:r w:rsidR="0078504F">
        <w:rPr>
          <w:b/>
          <w:bCs/>
        </w:rPr>
        <w:t>3</w:t>
      </w:r>
      <w:r>
        <w:rPr>
          <w:b/>
          <w:bCs/>
        </w:rPr>
        <w:tab/>
        <w:t>Option D allows the TA in which a UE is located to be narrowed down by an AMF with soft TAC switchover to just a few TAs or even to a single TA over a period of time for any UE with prolonged 5GC access.</w:t>
      </w:r>
    </w:p>
    <w:p w14:paraId="13F988E4" w14:textId="66FE4094" w:rsidR="00590A08" w:rsidRDefault="002A6582" w:rsidP="00590A08">
      <w:pPr>
        <w:pStyle w:val="EX"/>
        <w:ind w:left="1440" w:hanging="1440"/>
        <w:rPr>
          <w:rFonts w:eastAsia="Malgun Gothic"/>
          <w:lang w:val="en-US"/>
        </w:rPr>
      </w:pPr>
      <w:r>
        <w:rPr>
          <w:b/>
          <w:bCs/>
        </w:rPr>
        <w:t xml:space="preserve">Observation </w:t>
      </w:r>
      <w:r w:rsidR="0078504F">
        <w:rPr>
          <w:b/>
          <w:bCs/>
        </w:rPr>
        <w:t>4</w:t>
      </w:r>
      <w:r>
        <w:rPr>
          <w:b/>
          <w:bCs/>
        </w:rPr>
        <w:tab/>
        <w:t xml:space="preserve">Option C </w:t>
      </w:r>
      <w:r w:rsidRPr="00272F18">
        <w:rPr>
          <w:b/>
          <w:bCs/>
        </w:rPr>
        <w:t>av</w:t>
      </w:r>
      <w:r>
        <w:rPr>
          <w:b/>
          <w:bCs/>
        </w:rPr>
        <w:t>o</w:t>
      </w:r>
      <w:r w:rsidRPr="00272F18">
        <w:rPr>
          <w:b/>
          <w:bCs/>
        </w:rPr>
        <w:t xml:space="preserve">ids </w:t>
      </w:r>
      <w:r>
        <w:rPr>
          <w:b/>
          <w:bCs/>
        </w:rPr>
        <w:t xml:space="preserve">any </w:t>
      </w:r>
      <w:r w:rsidRPr="00272F18">
        <w:rPr>
          <w:b/>
          <w:bCs/>
        </w:rPr>
        <w:t xml:space="preserve">time delay in </w:t>
      </w:r>
      <w:r>
        <w:rPr>
          <w:b/>
          <w:bCs/>
        </w:rPr>
        <w:t xml:space="preserve">determining </w:t>
      </w:r>
      <w:r w:rsidRPr="00272F18">
        <w:rPr>
          <w:b/>
          <w:bCs/>
        </w:rPr>
        <w:t>a TA</w:t>
      </w:r>
      <w:r>
        <w:rPr>
          <w:b/>
          <w:bCs/>
        </w:rPr>
        <w:t xml:space="preserve"> in which a UE is located and </w:t>
      </w:r>
      <w:r w:rsidRPr="00272F18">
        <w:rPr>
          <w:b/>
          <w:bCs/>
        </w:rPr>
        <w:t xml:space="preserve">would </w:t>
      </w:r>
      <w:r>
        <w:rPr>
          <w:b/>
          <w:bCs/>
        </w:rPr>
        <w:t xml:space="preserve">thus </w:t>
      </w:r>
      <w:r w:rsidRPr="00272F18">
        <w:rPr>
          <w:b/>
          <w:bCs/>
        </w:rPr>
        <w:t>support U</w:t>
      </w:r>
      <w:r>
        <w:rPr>
          <w:b/>
          <w:bCs/>
        </w:rPr>
        <w:t>Es</w:t>
      </w:r>
      <w:r w:rsidRPr="00272F18">
        <w:rPr>
          <w:b/>
          <w:bCs/>
        </w:rPr>
        <w:t xml:space="preserve"> wh</w:t>
      </w:r>
      <w:r>
        <w:rPr>
          <w:b/>
          <w:bCs/>
        </w:rPr>
        <w:t>i</w:t>
      </w:r>
      <w:r w:rsidRPr="00272F18">
        <w:rPr>
          <w:b/>
          <w:bCs/>
        </w:rPr>
        <w:t>ch</w:t>
      </w:r>
      <w:r>
        <w:rPr>
          <w:b/>
          <w:bCs/>
        </w:rPr>
        <w:t xml:space="preserve"> </w:t>
      </w:r>
      <w:r w:rsidRPr="00272F18">
        <w:rPr>
          <w:b/>
          <w:bCs/>
        </w:rPr>
        <w:t>have sh</w:t>
      </w:r>
      <w:r>
        <w:rPr>
          <w:b/>
          <w:bCs/>
        </w:rPr>
        <w:t>o</w:t>
      </w:r>
      <w:r w:rsidRPr="00272F18">
        <w:rPr>
          <w:b/>
          <w:bCs/>
        </w:rPr>
        <w:t>rt access times (</w:t>
      </w:r>
      <w:r>
        <w:rPr>
          <w:b/>
          <w:bCs/>
        </w:rPr>
        <w:t xml:space="preserve">e.g. for </w:t>
      </w:r>
      <w:r w:rsidRPr="00272F18">
        <w:rPr>
          <w:b/>
          <w:bCs/>
        </w:rPr>
        <w:t xml:space="preserve">IOT) and would be </w:t>
      </w:r>
      <w:r>
        <w:rPr>
          <w:b/>
          <w:bCs/>
        </w:rPr>
        <w:t xml:space="preserve">more </w:t>
      </w:r>
      <w:r w:rsidRPr="00272F18">
        <w:rPr>
          <w:b/>
          <w:bCs/>
        </w:rPr>
        <w:t>accurate for location related applications of the ULI</w:t>
      </w:r>
      <w:r>
        <w:rPr>
          <w:b/>
          <w:bCs/>
        </w:rPr>
        <w:t>.</w:t>
      </w:r>
    </w:p>
    <w:p w14:paraId="1F8387B2" w14:textId="32C53DD5" w:rsidR="00590A08" w:rsidRDefault="00590A08" w:rsidP="00590A08">
      <w:pPr>
        <w:pStyle w:val="EX"/>
        <w:ind w:left="1440" w:hanging="1440"/>
        <w:rPr>
          <w:rFonts w:eastAsia="Malgun Gothic"/>
          <w:lang w:val="en-US"/>
        </w:rPr>
      </w:pPr>
      <w:r w:rsidRPr="00273B9B">
        <w:rPr>
          <w:b/>
          <w:bCs/>
        </w:rPr>
        <w:t xml:space="preserve">Observation </w:t>
      </w:r>
      <w:r>
        <w:rPr>
          <w:b/>
          <w:bCs/>
        </w:rPr>
        <w:t>5</w:t>
      </w:r>
      <w:r w:rsidRPr="00273B9B">
        <w:rPr>
          <w:b/>
          <w:bCs/>
        </w:rPr>
        <w:tab/>
      </w:r>
      <w:r>
        <w:rPr>
          <w:b/>
          <w:bCs/>
        </w:rPr>
        <w:t>SAs and FAs can be supported using Option D (and Option C+D) in a manner that approximates TN support and avoids violating a UE subscription to allowed service areas. However, a UE would be able to obtain sporadic PLMN access when inside a forbidden area from radio cells with coverage of an allowed UE area. PLMN operators can then decide whether to make use of SAs and FAs with this limitation or not use SAs and FAs and allow NR satellite access by a UE from everywhere in a PLMN country.</w:t>
      </w:r>
    </w:p>
    <w:p w14:paraId="72F435D2" w14:textId="2681BB8F" w:rsidR="002A6582" w:rsidRDefault="00DD3666" w:rsidP="002A6582">
      <w:pPr>
        <w:jc w:val="both"/>
        <w:rPr>
          <w:rFonts w:eastAsia="Malgun Gothic"/>
          <w:lang w:val="en-US"/>
        </w:rPr>
      </w:pPr>
      <w:r>
        <w:rPr>
          <w:rFonts w:eastAsia="Malgun Gothic"/>
        </w:rPr>
        <w:t>Based on these, the following proposals are made.</w:t>
      </w:r>
    </w:p>
    <w:p w14:paraId="1DC1B333" w14:textId="62D9A1D6" w:rsidR="002A6582" w:rsidRDefault="002A6582" w:rsidP="002A6582">
      <w:pPr>
        <w:pStyle w:val="EX"/>
        <w:ind w:left="1440" w:hanging="1440"/>
        <w:rPr>
          <w:b/>
          <w:bCs/>
        </w:rPr>
      </w:pPr>
      <w:r>
        <w:rPr>
          <w:b/>
          <w:bCs/>
        </w:rPr>
        <w:t>Proposal 1</w:t>
      </w:r>
      <w:r w:rsidRPr="00273B9B">
        <w:rPr>
          <w:b/>
          <w:bCs/>
        </w:rPr>
        <w:tab/>
      </w:r>
      <w:r>
        <w:rPr>
          <w:b/>
          <w:bCs/>
        </w:rPr>
        <w:t>Support TAC selection for the ULI using Option C+D.</w:t>
      </w:r>
    </w:p>
    <w:p w14:paraId="1B677584" w14:textId="2BC4D0C1" w:rsidR="002A6582" w:rsidRDefault="002A6582" w:rsidP="002A6582">
      <w:pPr>
        <w:pStyle w:val="EX"/>
        <w:ind w:left="1440" w:hanging="1440"/>
        <w:rPr>
          <w:b/>
          <w:bCs/>
        </w:rPr>
      </w:pPr>
      <w:r>
        <w:rPr>
          <w:b/>
          <w:bCs/>
        </w:rPr>
        <w:t>Proposal 2</w:t>
      </w:r>
      <w:r w:rsidRPr="00273B9B">
        <w:rPr>
          <w:b/>
          <w:bCs/>
        </w:rPr>
        <w:tab/>
      </w:r>
      <w:r>
        <w:rPr>
          <w:b/>
          <w:bCs/>
        </w:rPr>
        <w:t>Support FAs and SAs for NR Satellite access using Rules 1 and 2 in section 3</w:t>
      </w:r>
      <w:r w:rsidR="00EF5DB8">
        <w:rPr>
          <w:b/>
          <w:bCs/>
        </w:rPr>
        <w:t>.</w:t>
      </w:r>
    </w:p>
    <w:p w14:paraId="10205F9F" w14:textId="77777777" w:rsidR="002A6582" w:rsidRDefault="002A6582" w:rsidP="00DD3666">
      <w:pPr>
        <w:jc w:val="both"/>
        <w:rPr>
          <w:rFonts w:eastAsia="Malgun Gothic"/>
        </w:rPr>
      </w:pPr>
    </w:p>
    <w:bookmarkEnd w:id="10"/>
    <w:p w14:paraId="2387A976" w14:textId="258A28A9" w:rsidR="00C4747C" w:rsidRPr="00B04F6F" w:rsidRDefault="00DD3666" w:rsidP="00C4747C">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5</w:t>
      </w:r>
      <w:r w:rsidR="00C4747C" w:rsidRPr="006773A0">
        <w:rPr>
          <w:rFonts w:ascii="Arial" w:eastAsia="Malgun Gothic" w:hAnsi="Arial"/>
          <w:sz w:val="32"/>
        </w:rPr>
        <w:t xml:space="preserve">. </w:t>
      </w:r>
      <w:r w:rsidR="00C4747C">
        <w:rPr>
          <w:rFonts w:ascii="Arial" w:eastAsia="Malgun Gothic" w:hAnsi="Arial"/>
          <w:sz w:val="32"/>
        </w:rPr>
        <w:t>References</w:t>
      </w:r>
      <w:r w:rsidR="003B0099">
        <w:rPr>
          <w:rFonts w:eastAsia="Malgun Gothic"/>
          <w:lang w:val="en-US"/>
        </w:rPr>
        <w:t xml:space="preserve"> </w:t>
      </w:r>
    </w:p>
    <w:bookmarkEnd w:id="0"/>
    <w:bookmarkEnd w:id="1"/>
    <w:bookmarkEnd w:id="2"/>
    <w:bookmarkEnd w:id="3"/>
    <w:bookmarkEnd w:id="9"/>
    <w:p w14:paraId="0D6A23DB" w14:textId="191A31BA" w:rsidR="00E41940" w:rsidRDefault="00D676BF" w:rsidP="00786CB6">
      <w:pPr>
        <w:pStyle w:val="EX"/>
        <w:ind w:left="360" w:hanging="360"/>
      </w:pPr>
      <w:r>
        <w:t>[1]</w:t>
      </w:r>
      <w:r w:rsidR="002B1CB8">
        <w:tab/>
        <w:t>S2-210</w:t>
      </w:r>
      <w:r w:rsidR="00DF37B6">
        <w:t>6651</w:t>
      </w:r>
      <w:r w:rsidR="002B1CB8">
        <w:t>: “</w:t>
      </w:r>
      <w:r w:rsidR="00DF37B6" w:rsidRPr="00DF37B6">
        <w:t>LS Response to Reply LS on UE location aspects in NTN</w:t>
      </w:r>
      <w:r w:rsidR="002B1CB8">
        <w:t xml:space="preserve">”, LS from </w:t>
      </w:r>
      <w:r w:rsidR="001F53D4">
        <w:t>SA</w:t>
      </w:r>
      <w:r w:rsidR="002B1CB8">
        <w:t>2#</w:t>
      </w:r>
      <w:r w:rsidR="001F53D4">
        <w:t>14</w:t>
      </w:r>
      <w:r w:rsidR="00DF37B6">
        <w:t>6</w:t>
      </w:r>
      <w:r w:rsidR="002B1CB8">
        <w:t>e.</w:t>
      </w:r>
    </w:p>
    <w:bookmarkEnd w:id="4"/>
    <w:bookmarkEnd w:id="5"/>
    <w:bookmarkEnd w:id="6"/>
    <w:bookmarkEnd w:id="7"/>
    <w:bookmarkEnd w:id="8"/>
    <w:p w14:paraId="32E5A370" w14:textId="3FEA9296" w:rsidR="00AD0D48" w:rsidRPr="00DD3666" w:rsidRDefault="002B2825" w:rsidP="00DD3666">
      <w:pPr>
        <w:pStyle w:val="EX"/>
        <w:ind w:left="360" w:hanging="360"/>
      </w:pPr>
      <w:r>
        <w:t>[2]</w:t>
      </w:r>
      <w:r>
        <w:tab/>
        <w:t>S2-217779: “</w:t>
      </w:r>
      <w:r w:rsidRPr="002B2825">
        <w:t>Resolution of Tracking Area Indication in the NGAP ULI for Moving Cells</w:t>
      </w:r>
      <w:r>
        <w:t>”.</w:t>
      </w:r>
    </w:p>
    <w:sectPr w:rsidR="00AD0D48" w:rsidRPr="00DD3666" w:rsidSect="006E5651">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354A0" w14:textId="77777777" w:rsidR="00AD680E" w:rsidRDefault="00AD680E">
      <w:r>
        <w:separator/>
      </w:r>
    </w:p>
  </w:endnote>
  <w:endnote w:type="continuationSeparator" w:id="0">
    <w:p w14:paraId="729B769B" w14:textId="77777777" w:rsidR="00AD680E" w:rsidRDefault="00AD6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HP Simplified Han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104EB" w14:textId="77777777" w:rsidR="00514E1C" w:rsidRDefault="00514E1C">
    <w:pPr>
      <w:pStyle w:val="Footer"/>
    </w:pPr>
    <w:r>
      <w:rPr>
        <w:lang w:val="fr-FR" w:eastAsia="fr-FR"/>
      </w:rPr>
      <mc:AlternateContent>
        <mc:Choice Requires="wps">
          <w:drawing>
            <wp:anchor distT="0" distB="0" distL="114300" distR="114300" simplePos="0" relativeHeight="251659264" behindDoc="0" locked="0" layoutInCell="0" allowOverlap="1" wp14:anchorId="6DBE6C18" wp14:editId="3D45C81C">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AA986" w14:textId="77777777" w:rsidR="00514E1C" w:rsidRPr="00721A02" w:rsidRDefault="00514E1C"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6DBE6C18" id="_x0000_t202" coordsize="21600,21600" o:spt="202" path="m,l,21600r21600,l21600,xe">
              <v:stroke joinstyle="miter"/>
              <v:path gradientshapeok="t" o:connecttype="rect"/>
            </v:shapetype>
            <v:shape id="MSIPCMb0fa48b181cf4de3905aacfa" o:spid="_x0000_s1026"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" o:allowincell="f" filled="f" stroked="f">
              <v:textbox inset="20pt,0,,0">
                <w:txbxContent>
                  <w:p w14:paraId="391AA986" w14:textId="77777777" w:rsidR="00514E1C" w:rsidRPr="00721A02" w:rsidRDefault="00514E1C"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46459" w14:textId="77777777" w:rsidR="00AD680E" w:rsidRDefault="00AD680E">
      <w:r>
        <w:separator/>
      </w:r>
    </w:p>
  </w:footnote>
  <w:footnote w:type="continuationSeparator" w:id="0">
    <w:p w14:paraId="39366F3F" w14:textId="77777777" w:rsidR="00AD680E" w:rsidRDefault="00AD68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81AAB" w14:textId="77777777" w:rsidR="00514E1C" w:rsidRDefault="00514E1C" w:rsidP="006773A0">
    <w:pPr>
      <w:pStyle w:val="Header"/>
      <w:framePr w:wrap="auto" w:vAnchor="text" w:hAnchor="margin" w:y="1"/>
      <w:widowControl/>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0BA0D43"/>
    <w:multiLevelType w:val="hybridMultilevel"/>
    <w:tmpl w:val="664C00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CD16854"/>
    <w:multiLevelType w:val="hybridMultilevel"/>
    <w:tmpl w:val="0A6409E2"/>
    <w:lvl w:ilvl="0" w:tplc="041D000F">
      <w:start w:val="1"/>
      <w:numFmt w:val="decimal"/>
      <w:lvlText w:val="%1."/>
      <w:lvlJc w:val="left"/>
      <w:pPr>
        <w:ind w:left="2520" w:hanging="360"/>
      </w:pPr>
      <w:rPr>
        <w:rFonts w:hint="default"/>
      </w:rPr>
    </w:lvl>
    <w:lvl w:ilvl="1" w:tplc="041D0003" w:tentative="1">
      <w:start w:val="1"/>
      <w:numFmt w:val="bullet"/>
      <w:lvlText w:val="o"/>
      <w:lvlJc w:val="left"/>
      <w:pPr>
        <w:ind w:left="3240" w:hanging="360"/>
      </w:pPr>
      <w:rPr>
        <w:rFonts w:ascii="Courier New" w:hAnsi="Courier New" w:cs="Courier New" w:hint="default"/>
      </w:rPr>
    </w:lvl>
    <w:lvl w:ilvl="2" w:tplc="041D0005" w:tentative="1">
      <w:start w:val="1"/>
      <w:numFmt w:val="bullet"/>
      <w:lvlText w:val=""/>
      <w:lvlJc w:val="left"/>
      <w:pPr>
        <w:ind w:left="3960" w:hanging="360"/>
      </w:pPr>
      <w:rPr>
        <w:rFonts w:ascii="Wingdings" w:hAnsi="Wingdings" w:hint="default"/>
      </w:rPr>
    </w:lvl>
    <w:lvl w:ilvl="3" w:tplc="041D0001" w:tentative="1">
      <w:start w:val="1"/>
      <w:numFmt w:val="bullet"/>
      <w:lvlText w:val=""/>
      <w:lvlJc w:val="left"/>
      <w:pPr>
        <w:ind w:left="4680" w:hanging="360"/>
      </w:pPr>
      <w:rPr>
        <w:rFonts w:ascii="Symbol" w:hAnsi="Symbol" w:hint="default"/>
      </w:rPr>
    </w:lvl>
    <w:lvl w:ilvl="4" w:tplc="041D0003" w:tentative="1">
      <w:start w:val="1"/>
      <w:numFmt w:val="bullet"/>
      <w:lvlText w:val="o"/>
      <w:lvlJc w:val="left"/>
      <w:pPr>
        <w:ind w:left="5400" w:hanging="360"/>
      </w:pPr>
      <w:rPr>
        <w:rFonts w:ascii="Courier New" w:hAnsi="Courier New" w:cs="Courier New" w:hint="default"/>
      </w:rPr>
    </w:lvl>
    <w:lvl w:ilvl="5" w:tplc="041D0005" w:tentative="1">
      <w:start w:val="1"/>
      <w:numFmt w:val="bullet"/>
      <w:lvlText w:val=""/>
      <w:lvlJc w:val="left"/>
      <w:pPr>
        <w:ind w:left="6120" w:hanging="360"/>
      </w:pPr>
      <w:rPr>
        <w:rFonts w:ascii="Wingdings" w:hAnsi="Wingdings" w:hint="default"/>
      </w:rPr>
    </w:lvl>
    <w:lvl w:ilvl="6" w:tplc="041D0001" w:tentative="1">
      <w:start w:val="1"/>
      <w:numFmt w:val="bullet"/>
      <w:lvlText w:val=""/>
      <w:lvlJc w:val="left"/>
      <w:pPr>
        <w:ind w:left="6840" w:hanging="360"/>
      </w:pPr>
      <w:rPr>
        <w:rFonts w:ascii="Symbol" w:hAnsi="Symbol" w:hint="default"/>
      </w:rPr>
    </w:lvl>
    <w:lvl w:ilvl="7" w:tplc="041D0003" w:tentative="1">
      <w:start w:val="1"/>
      <w:numFmt w:val="bullet"/>
      <w:lvlText w:val="o"/>
      <w:lvlJc w:val="left"/>
      <w:pPr>
        <w:ind w:left="7560" w:hanging="360"/>
      </w:pPr>
      <w:rPr>
        <w:rFonts w:ascii="Courier New" w:hAnsi="Courier New" w:cs="Courier New" w:hint="default"/>
      </w:rPr>
    </w:lvl>
    <w:lvl w:ilvl="8" w:tplc="041D0005" w:tentative="1">
      <w:start w:val="1"/>
      <w:numFmt w:val="bullet"/>
      <w:lvlText w:val=""/>
      <w:lvlJc w:val="left"/>
      <w:pPr>
        <w:ind w:left="8280" w:hanging="360"/>
      </w:pPr>
      <w:rPr>
        <w:rFonts w:ascii="Wingdings" w:hAnsi="Wingdings" w:hint="default"/>
      </w:rPr>
    </w:lvl>
  </w:abstractNum>
  <w:abstractNum w:abstractNumId="4"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A2567F"/>
    <w:multiLevelType w:val="multilevel"/>
    <w:tmpl w:val="13A2567F"/>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7" w15:restartNumberingAfterBreak="0">
    <w:nsid w:val="1AA676FA"/>
    <w:multiLevelType w:val="multilevel"/>
    <w:tmpl w:val="1AA676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1901D99"/>
    <w:multiLevelType w:val="hybridMultilevel"/>
    <w:tmpl w:val="32C632B8"/>
    <w:lvl w:ilvl="0" w:tplc="D47291C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5"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7B1C2BCC"/>
    <w:multiLevelType w:val="hybridMultilevel"/>
    <w:tmpl w:val="D9B8FF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2"/>
  </w:num>
  <w:num w:numId="3">
    <w:abstractNumId w:val="16"/>
  </w:num>
  <w:num w:numId="4">
    <w:abstractNumId w:val="8"/>
  </w:num>
  <w:num w:numId="5">
    <w:abstractNumId w:val="14"/>
  </w:num>
  <w:num w:numId="6">
    <w:abstractNumId w:val="6"/>
  </w:num>
  <w:num w:numId="7">
    <w:abstractNumId w:val="11"/>
  </w:num>
  <w:num w:numId="8">
    <w:abstractNumId w:val="10"/>
  </w:num>
  <w:num w:numId="9">
    <w:abstractNumId w:val="15"/>
  </w:num>
  <w:num w:numId="10">
    <w:abstractNumId w:val="9"/>
  </w:num>
  <w:num w:numId="11">
    <w:abstractNumId w:val="4"/>
  </w:num>
  <w:num w:numId="12">
    <w:abstractNumId w:val="12"/>
  </w:num>
  <w:num w:numId="13">
    <w:abstractNumId w:val="13"/>
  </w:num>
  <w:num w:numId="14">
    <w:abstractNumId w:val="1"/>
  </w:num>
  <w:num w:numId="15">
    <w:abstractNumId w:val="7"/>
  </w:num>
  <w:num w:numId="16">
    <w:abstractNumId w:val="5"/>
  </w:num>
  <w:num w:numId="17">
    <w:abstractNumId w:val="17"/>
  </w:num>
  <w:num w:numId="18">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3272"/>
    <w:rsid w:val="0000407B"/>
    <w:rsid w:val="00004F7A"/>
    <w:rsid w:val="0000743C"/>
    <w:rsid w:val="00007FE4"/>
    <w:rsid w:val="00011575"/>
    <w:rsid w:val="00012498"/>
    <w:rsid w:val="00013379"/>
    <w:rsid w:val="0001522F"/>
    <w:rsid w:val="0002191D"/>
    <w:rsid w:val="000266A0"/>
    <w:rsid w:val="000271FA"/>
    <w:rsid w:val="00031A75"/>
    <w:rsid w:val="00031C1D"/>
    <w:rsid w:val="00033205"/>
    <w:rsid w:val="00035EC0"/>
    <w:rsid w:val="00036EAE"/>
    <w:rsid w:val="0003799D"/>
    <w:rsid w:val="00037E61"/>
    <w:rsid w:val="0004262F"/>
    <w:rsid w:val="00042653"/>
    <w:rsid w:val="000437E3"/>
    <w:rsid w:val="00045FA3"/>
    <w:rsid w:val="000501E0"/>
    <w:rsid w:val="0005279F"/>
    <w:rsid w:val="000528C0"/>
    <w:rsid w:val="000553C3"/>
    <w:rsid w:val="00055613"/>
    <w:rsid w:val="00055B04"/>
    <w:rsid w:val="00056AAD"/>
    <w:rsid w:val="00056D9F"/>
    <w:rsid w:val="00060054"/>
    <w:rsid w:val="00060C49"/>
    <w:rsid w:val="00064B74"/>
    <w:rsid w:val="00065747"/>
    <w:rsid w:val="000729E9"/>
    <w:rsid w:val="00073338"/>
    <w:rsid w:val="000734F2"/>
    <w:rsid w:val="00073D1B"/>
    <w:rsid w:val="00074897"/>
    <w:rsid w:val="000750F8"/>
    <w:rsid w:val="0007677E"/>
    <w:rsid w:val="00081EA8"/>
    <w:rsid w:val="00082267"/>
    <w:rsid w:val="00082679"/>
    <w:rsid w:val="0008270B"/>
    <w:rsid w:val="00082D2E"/>
    <w:rsid w:val="000861CA"/>
    <w:rsid w:val="0009002F"/>
    <w:rsid w:val="00093E7E"/>
    <w:rsid w:val="00094D87"/>
    <w:rsid w:val="00095749"/>
    <w:rsid w:val="000961BC"/>
    <w:rsid w:val="00096824"/>
    <w:rsid w:val="0009746F"/>
    <w:rsid w:val="000976F9"/>
    <w:rsid w:val="000977C8"/>
    <w:rsid w:val="000A1E89"/>
    <w:rsid w:val="000A2727"/>
    <w:rsid w:val="000A7129"/>
    <w:rsid w:val="000A7444"/>
    <w:rsid w:val="000A74B4"/>
    <w:rsid w:val="000A7AD5"/>
    <w:rsid w:val="000B007D"/>
    <w:rsid w:val="000B1AE4"/>
    <w:rsid w:val="000B3451"/>
    <w:rsid w:val="000B7A3E"/>
    <w:rsid w:val="000C12E7"/>
    <w:rsid w:val="000C15D4"/>
    <w:rsid w:val="000C1C11"/>
    <w:rsid w:val="000C240C"/>
    <w:rsid w:val="000C4ECF"/>
    <w:rsid w:val="000C4F3B"/>
    <w:rsid w:val="000C6218"/>
    <w:rsid w:val="000C654A"/>
    <w:rsid w:val="000C6FA5"/>
    <w:rsid w:val="000D5618"/>
    <w:rsid w:val="000D6CFC"/>
    <w:rsid w:val="000D7AF7"/>
    <w:rsid w:val="000E09F6"/>
    <w:rsid w:val="000E0E25"/>
    <w:rsid w:val="000E1CF9"/>
    <w:rsid w:val="000E255C"/>
    <w:rsid w:val="000E3ADC"/>
    <w:rsid w:val="000E4AA3"/>
    <w:rsid w:val="000E510E"/>
    <w:rsid w:val="000E6B11"/>
    <w:rsid w:val="000F3373"/>
    <w:rsid w:val="000F34E8"/>
    <w:rsid w:val="000F45B9"/>
    <w:rsid w:val="000F760F"/>
    <w:rsid w:val="00100A03"/>
    <w:rsid w:val="00100C3F"/>
    <w:rsid w:val="00102910"/>
    <w:rsid w:val="00103C9F"/>
    <w:rsid w:val="001073DC"/>
    <w:rsid w:val="001076A2"/>
    <w:rsid w:val="001077D3"/>
    <w:rsid w:val="0010783E"/>
    <w:rsid w:val="0011004F"/>
    <w:rsid w:val="00111068"/>
    <w:rsid w:val="001114C3"/>
    <w:rsid w:val="00114218"/>
    <w:rsid w:val="00115FA1"/>
    <w:rsid w:val="00116E93"/>
    <w:rsid w:val="00117B81"/>
    <w:rsid w:val="00120015"/>
    <w:rsid w:val="00122B7E"/>
    <w:rsid w:val="00123F77"/>
    <w:rsid w:val="0013290F"/>
    <w:rsid w:val="0013735F"/>
    <w:rsid w:val="00137620"/>
    <w:rsid w:val="001425AE"/>
    <w:rsid w:val="00143404"/>
    <w:rsid w:val="00151CCA"/>
    <w:rsid w:val="00151F92"/>
    <w:rsid w:val="00153528"/>
    <w:rsid w:val="001551D7"/>
    <w:rsid w:val="001610F1"/>
    <w:rsid w:val="001618B3"/>
    <w:rsid w:val="001638AA"/>
    <w:rsid w:val="00166E88"/>
    <w:rsid w:val="001721BB"/>
    <w:rsid w:val="00172831"/>
    <w:rsid w:val="00172ACA"/>
    <w:rsid w:val="00173440"/>
    <w:rsid w:val="00177263"/>
    <w:rsid w:val="0017790A"/>
    <w:rsid w:val="001842D4"/>
    <w:rsid w:val="00184AEB"/>
    <w:rsid w:val="00184C29"/>
    <w:rsid w:val="00184DE6"/>
    <w:rsid w:val="00185FB7"/>
    <w:rsid w:val="0018723A"/>
    <w:rsid w:val="00190AA0"/>
    <w:rsid w:val="001927B8"/>
    <w:rsid w:val="0019336F"/>
    <w:rsid w:val="0019404D"/>
    <w:rsid w:val="001948BD"/>
    <w:rsid w:val="00194AB6"/>
    <w:rsid w:val="00195923"/>
    <w:rsid w:val="00197BE8"/>
    <w:rsid w:val="001A08AA"/>
    <w:rsid w:val="001A3120"/>
    <w:rsid w:val="001A32AA"/>
    <w:rsid w:val="001A356D"/>
    <w:rsid w:val="001A360B"/>
    <w:rsid w:val="001A489A"/>
    <w:rsid w:val="001A6EB4"/>
    <w:rsid w:val="001B0860"/>
    <w:rsid w:val="001B531F"/>
    <w:rsid w:val="001C2C5F"/>
    <w:rsid w:val="001C36CA"/>
    <w:rsid w:val="001C3AD3"/>
    <w:rsid w:val="001C5473"/>
    <w:rsid w:val="001C5DDF"/>
    <w:rsid w:val="001C69E5"/>
    <w:rsid w:val="001C6CF2"/>
    <w:rsid w:val="001C6E3F"/>
    <w:rsid w:val="001D06EA"/>
    <w:rsid w:val="001D3498"/>
    <w:rsid w:val="001D47A5"/>
    <w:rsid w:val="001D4E8E"/>
    <w:rsid w:val="001D541F"/>
    <w:rsid w:val="001D56F2"/>
    <w:rsid w:val="001D7258"/>
    <w:rsid w:val="001E1248"/>
    <w:rsid w:val="001E1D6C"/>
    <w:rsid w:val="001E5112"/>
    <w:rsid w:val="001E621C"/>
    <w:rsid w:val="001E6876"/>
    <w:rsid w:val="001E74FE"/>
    <w:rsid w:val="001F12B8"/>
    <w:rsid w:val="001F1F29"/>
    <w:rsid w:val="001F24CB"/>
    <w:rsid w:val="001F53D4"/>
    <w:rsid w:val="001F6984"/>
    <w:rsid w:val="001F71A3"/>
    <w:rsid w:val="002058AC"/>
    <w:rsid w:val="00207886"/>
    <w:rsid w:val="00207B00"/>
    <w:rsid w:val="00210F0C"/>
    <w:rsid w:val="002110CD"/>
    <w:rsid w:val="00211AA8"/>
    <w:rsid w:val="00212373"/>
    <w:rsid w:val="002138EA"/>
    <w:rsid w:val="00214FBD"/>
    <w:rsid w:val="00216684"/>
    <w:rsid w:val="00221AC7"/>
    <w:rsid w:val="0022239A"/>
    <w:rsid w:val="002226F9"/>
    <w:rsid w:val="00222897"/>
    <w:rsid w:val="002236F7"/>
    <w:rsid w:val="0023226E"/>
    <w:rsid w:val="00232E48"/>
    <w:rsid w:val="002331B9"/>
    <w:rsid w:val="00233DB2"/>
    <w:rsid w:val="0023406E"/>
    <w:rsid w:val="00235394"/>
    <w:rsid w:val="0024008A"/>
    <w:rsid w:val="00242C6C"/>
    <w:rsid w:val="00242CCE"/>
    <w:rsid w:val="002436D3"/>
    <w:rsid w:val="002439C6"/>
    <w:rsid w:val="002446C6"/>
    <w:rsid w:val="0025107F"/>
    <w:rsid w:val="0025482B"/>
    <w:rsid w:val="00255283"/>
    <w:rsid w:val="00255E45"/>
    <w:rsid w:val="002561D5"/>
    <w:rsid w:val="002573EC"/>
    <w:rsid w:val="00260002"/>
    <w:rsid w:val="00260608"/>
    <w:rsid w:val="00260755"/>
    <w:rsid w:val="0026179F"/>
    <w:rsid w:val="00261DD6"/>
    <w:rsid w:val="002621E7"/>
    <w:rsid w:val="00262AED"/>
    <w:rsid w:val="002631FF"/>
    <w:rsid w:val="002647BD"/>
    <w:rsid w:val="00264B38"/>
    <w:rsid w:val="0027175A"/>
    <w:rsid w:val="00271C3F"/>
    <w:rsid w:val="00272F18"/>
    <w:rsid w:val="00273381"/>
    <w:rsid w:val="00273A7F"/>
    <w:rsid w:val="00274E1A"/>
    <w:rsid w:val="002756F0"/>
    <w:rsid w:val="002757AF"/>
    <w:rsid w:val="0027660E"/>
    <w:rsid w:val="002810A5"/>
    <w:rsid w:val="0028170A"/>
    <w:rsid w:val="00282213"/>
    <w:rsid w:val="0028452D"/>
    <w:rsid w:val="00284EC4"/>
    <w:rsid w:val="002853C4"/>
    <w:rsid w:val="002855DC"/>
    <w:rsid w:val="0028633D"/>
    <w:rsid w:val="00286CA4"/>
    <w:rsid w:val="002926EB"/>
    <w:rsid w:val="002944E2"/>
    <w:rsid w:val="002944F9"/>
    <w:rsid w:val="00294AD2"/>
    <w:rsid w:val="00295334"/>
    <w:rsid w:val="002955A5"/>
    <w:rsid w:val="002A2997"/>
    <w:rsid w:val="002A2E2F"/>
    <w:rsid w:val="002A6582"/>
    <w:rsid w:val="002A6A0C"/>
    <w:rsid w:val="002A6C81"/>
    <w:rsid w:val="002B064C"/>
    <w:rsid w:val="002B19C7"/>
    <w:rsid w:val="002B1CB8"/>
    <w:rsid w:val="002B22E2"/>
    <w:rsid w:val="002B2825"/>
    <w:rsid w:val="002B44CC"/>
    <w:rsid w:val="002C2A52"/>
    <w:rsid w:val="002C30AE"/>
    <w:rsid w:val="002D0B7C"/>
    <w:rsid w:val="002D0EB6"/>
    <w:rsid w:val="002D3E4D"/>
    <w:rsid w:val="002D465D"/>
    <w:rsid w:val="002D54FF"/>
    <w:rsid w:val="002D7268"/>
    <w:rsid w:val="002E23E6"/>
    <w:rsid w:val="002E6EF5"/>
    <w:rsid w:val="002E7782"/>
    <w:rsid w:val="002E7B6F"/>
    <w:rsid w:val="002F1316"/>
    <w:rsid w:val="002F2941"/>
    <w:rsid w:val="002F32D0"/>
    <w:rsid w:val="002F407D"/>
    <w:rsid w:val="002F4093"/>
    <w:rsid w:val="002F4B77"/>
    <w:rsid w:val="002F6645"/>
    <w:rsid w:val="003012C5"/>
    <w:rsid w:val="00301790"/>
    <w:rsid w:val="00304464"/>
    <w:rsid w:val="00304C48"/>
    <w:rsid w:val="003056CA"/>
    <w:rsid w:val="003072C0"/>
    <w:rsid w:val="00311E9B"/>
    <w:rsid w:val="00312A06"/>
    <w:rsid w:val="00313476"/>
    <w:rsid w:val="00313C22"/>
    <w:rsid w:val="00316559"/>
    <w:rsid w:val="003167F8"/>
    <w:rsid w:val="0032149C"/>
    <w:rsid w:val="00323121"/>
    <w:rsid w:val="003249ED"/>
    <w:rsid w:val="0032559D"/>
    <w:rsid w:val="00326915"/>
    <w:rsid w:val="003272E6"/>
    <w:rsid w:val="003356DA"/>
    <w:rsid w:val="00336C01"/>
    <w:rsid w:val="00337A79"/>
    <w:rsid w:val="00342CFC"/>
    <w:rsid w:val="003522EC"/>
    <w:rsid w:val="00354BC3"/>
    <w:rsid w:val="00355540"/>
    <w:rsid w:val="003607F3"/>
    <w:rsid w:val="0036269E"/>
    <w:rsid w:val="003634A0"/>
    <w:rsid w:val="003653F3"/>
    <w:rsid w:val="00367724"/>
    <w:rsid w:val="00370473"/>
    <w:rsid w:val="00371E81"/>
    <w:rsid w:val="003736B5"/>
    <w:rsid w:val="00373CB3"/>
    <w:rsid w:val="00374459"/>
    <w:rsid w:val="0037722B"/>
    <w:rsid w:val="003800CF"/>
    <w:rsid w:val="0038037B"/>
    <w:rsid w:val="00381775"/>
    <w:rsid w:val="00386D07"/>
    <w:rsid w:val="00391926"/>
    <w:rsid w:val="003924FC"/>
    <w:rsid w:val="00392947"/>
    <w:rsid w:val="00392B31"/>
    <w:rsid w:val="0039310F"/>
    <w:rsid w:val="003934F6"/>
    <w:rsid w:val="003955D0"/>
    <w:rsid w:val="00395B4D"/>
    <w:rsid w:val="00396142"/>
    <w:rsid w:val="00397230"/>
    <w:rsid w:val="0039767B"/>
    <w:rsid w:val="003A0D78"/>
    <w:rsid w:val="003A28AB"/>
    <w:rsid w:val="003A2E92"/>
    <w:rsid w:val="003A40F7"/>
    <w:rsid w:val="003A6860"/>
    <w:rsid w:val="003B0099"/>
    <w:rsid w:val="003B1459"/>
    <w:rsid w:val="003B17DE"/>
    <w:rsid w:val="003B2DF1"/>
    <w:rsid w:val="003B35A1"/>
    <w:rsid w:val="003B4AE2"/>
    <w:rsid w:val="003B7EEA"/>
    <w:rsid w:val="003C346D"/>
    <w:rsid w:val="003D7511"/>
    <w:rsid w:val="003D7674"/>
    <w:rsid w:val="003E1F8E"/>
    <w:rsid w:val="003E3071"/>
    <w:rsid w:val="003E38C6"/>
    <w:rsid w:val="003E4D01"/>
    <w:rsid w:val="003E6815"/>
    <w:rsid w:val="003E769A"/>
    <w:rsid w:val="003F04A0"/>
    <w:rsid w:val="003F5EC6"/>
    <w:rsid w:val="003F6455"/>
    <w:rsid w:val="003F67BF"/>
    <w:rsid w:val="003F6B3B"/>
    <w:rsid w:val="00400D54"/>
    <w:rsid w:val="00401532"/>
    <w:rsid w:val="004020D7"/>
    <w:rsid w:val="00406444"/>
    <w:rsid w:val="0041286B"/>
    <w:rsid w:val="004128A4"/>
    <w:rsid w:val="0041347C"/>
    <w:rsid w:val="00414BF9"/>
    <w:rsid w:val="004174D7"/>
    <w:rsid w:val="00417C22"/>
    <w:rsid w:val="00422446"/>
    <w:rsid w:val="00424735"/>
    <w:rsid w:val="0042702E"/>
    <w:rsid w:val="00427F6B"/>
    <w:rsid w:val="004302C6"/>
    <w:rsid w:val="00430544"/>
    <w:rsid w:val="00430B23"/>
    <w:rsid w:val="004313FD"/>
    <w:rsid w:val="00431692"/>
    <w:rsid w:val="004322A0"/>
    <w:rsid w:val="00432DDC"/>
    <w:rsid w:val="00433CB2"/>
    <w:rsid w:val="00434093"/>
    <w:rsid w:val="00435EC6"/>
    <w:rsid w:val="00437BDD"/>
    <w:rsid w:val="00442768"/>
    <w:rsid w:val="0044336B"/>
    <w:rsid w:val="00444225"/>
    <w:rsid w:val="00445E1D"/>
    <w:rsid w:val="00447A84"/>
    <w:rsid w:val="00447B38"/>
    <w:rsid w:val="00452296"/>
    <w:rsid w:val="004537E4"/>
    <w:rsid w:val="004543A8"/>
    <w:rsid w:val="00456C8C"/>
    <w:rsid w:val="004701FC"/>
    <w:rsid w:val="004707E0"/>
    <w:rsid w:val="004730F4"/>
    <w:rsid w:val="00477B8C"/>
    <w:rsid w:val="00484389"/>
    <w:rsid w:val="004846F7"/>
    <w:rsid w:val="00484A21"/>
    <w:rsid w:val="00484AF1"/>
    <w:rsid w:val="0048571D"/>
    <w:rsid w:val="004857B4"/>
    <w:rsid w:val="00485A20"/>
    <w:rsid w:val="00491606"/>
    <w:rsid w:val="004919DD"/>
    <w:rsid w:val="004925E0"/>
    <w:rsid w:val="004944CD"/>
    <w:rsid w:val="00495187"/>
    <w:rsid w:val="00497058"/>
    <w:rsid w:val="004A17C7"/>
    <w:rsid w:val="004A1E26"/>
    <w:rsid w:val="004A1E38"/>
    <w:rsid w:val="004A3660"/>
    <w:rsid w:val="004A76AB"/>
    <w:rsid w:val="004B36FF"/>
    <w:rsid w:val="004B4DB3"/>
    <w:rsid w:val="004B5BE6"/>
    <w:rsid w:val="004B5D71"/>
    <w:rsid w:val="004C0A17"/>
    <w:rsid w:val="004C234E"/>
    <w:rsid w:val="004C2A94"/>
    <w:rsid w:val="004C54DA"/>
    <w:rsid w:val="004C615E"/>
    <w:rsid w:val="004C7B0D"/>
    <w:rsid w:val="004C7D5A"/>
    <w:rsid w:val="004D0D99"/>
    <w:rsid w:val="004D4493"/>
    <w:rsid w:val="004D76D0"/>
    <w:rsid w:val="004E0898"/>
    <w:rsid w:val="004E3439"/>
    <w:rsid w:val="004E5CBC"/>
    <w:rsid w:val="004F22DD"/>
    <w:rsid w:val="004F2ACA"/>
    <w:rsid w:val="004F2D65"/>
    <w:rsid w:val="004F32C7"/>
    <w:rsid w:val="004F4144"/>
    <w:rsid w:val="004F4431"/>
    <w:rsid w:val="004F6C8D"/>
    <w:rsid w:val="004F7944"/>
    <w:rsid w:val="004F7A3D"/>
    <w:rsid w:val="00500209"/>
    <w:rsid w:val="00503FF7"/>
    <w:rsid w:val="0050435F"/>
    <w:rsid w:val="00505BFA"/>
    <w:rsid w:val="00507253"/>
    <w:rsid w:val="005079B9"/>
    <w:rsid w:val="005103F7"/>
    <w:rsid w:val="0051076E"/>
    <w:rsid w:val="0051183E"/>
    <w:rsid w:val="005127DF"/>
    <w:rsid w:val="005130EF"/>
    <w:rsid w:val="00514E1C"/>
    <w:rsid w:val="005155C9"/>
    <w:rsid w:val="00516406"/>
    <w:rsid w:val="00517758"/>
    <w:rsid w:val="005216F4"/>
    <w:rsid w:val="005226B8"/>
    <w:rsid w:val="00524B09"/>
    <w:rsid w:val="0052540D"/>
    <w:rsid w:val="00525503"/>
    <w:rsid w:val="00531B22"/>
    <w:rsid w:val="0053209B"/>
    <w:rsid w:val="00532234"/>
    <w:rsid w:val="005335C9"/>
    <w:rsid w:val="00533A12"/>
    <w:rsid w:val="00535E5D"/>
    <w:rsid w:val="0053679D"/>
    <w:rsid w:val="0053781B"/>
    <w:rsid w:val="005444B8"/>
    <w:rsid w:val="00544E95"/>
    <w:rsid w:val="00545C3E"/>
    <w:rsid w:val="00545D73"/>
    <w:rsid w:val="00553D42"/>
    <w:rsid w:val="00554DF9"/>
    <w:rsid w:val="00557FAB"/>
    <w:rsid w:val="00560DDD"/>
    <w:rsid w:val="0056303F"/>
    <w:rsid w:val="0056380F"/>
    <w:rsid w:val="00563ADE"/>
    <w:rsid w:val="00565795"/>
    <w:rsid w:val="00566774"/>
    <w:rsid w:val="00571CE3"/>
    <w:rsid w:val="00572BB1"/>
    <w:rsid w:val="00575FC0"/>
    <w:rsid w:val="005767AD"/>
    <w:rsid w:val="00577919"/>
    <w:rsid w:val="00577AB5"/>
    <w:rsid w:val="005805B1"/>
    <w:rsid w:val="00580CFC"/>
    <w:rsid w:val="00580FE0"/>
    <w:rsid w:val="00581620"/>
    <w:rsid w:val="00581A6B"/>
    <w:rsid w:val="00585572"/>
    <w:rsid w:val="0058578F"/>
    <w:rsid w:val="005862D6"/>
    <w:rsid w:val="00586CAD"/>
    <w:rsid w:val="00587390"/>
    <w:rsid w:val="005901FD"/>
    <w:rsid w:val="00590A08"/>
    <w:rsid w:val="00590C49"/>
    <w:rsid w:val="0059133A"/>
    <w:rsid w:val="0059248A"/>
    <w:rsid w:val="00594D89"/>
    <w:rsid w:val="00597805"/>
    <w:rsid w:val="005A11F1"/>
    <w:rsid w:val="005A2572"/>
    <w:rsid w:val="005B1839"/>
    <w:rsid w:val="005B1E2F"/>
    <w:rsid w:val="005B25D0"/>
    <w:rsid w:val="005B30AB"/>
    <w:rsid w:val="005B5FFC"/>
    <w:rsid w:val="005B60D4"/>
    <w:rsid w:val="005B6869"/>
    <w:rsid w:val="005C0036"/>
    <w:rsid w:val="005C0087"/>
    <w:rsid w:val="005C0C41"/>
    <w:rsid w:val="005C3CCD"/>
    <w:rsid w:val="005D3E2E"/>
    <w:rsid w:val="005D3FD8"/>
    <w:rsid w:val="005D5473"/>
    <w:rsid w:val="005D6BD9"/>
    <w:rsid w:val="005D7B45"/>
    <w:rsid w:val="005E03CE"/>
    <w:rsid w:val="005E2A6C"/>
    <w:rsid w:val="005E5A8E"/>
    <w:rsid w:val="005E5BA1"/>
    <w:rsid w:val="005E5D7B"/>
    <w:rsid w:val="005E62DB"/>
    <w:rsid w:val="005F0CE7"/>
    <w:rsid w:val="006000BB"/>
    <w:rsid w:val="00600518"/>
    <w:rsid w:val="006006E8"/>
    <w:rsid w:val="00601632"/>
    <w:rsid w:val="00605D67"/>
    <w:rsid w:val="006067C5"/>
    <w:rsid w:val="006069E6"/>
    <w:rsid w:val="00607C4E"/>
    <w:rsid w:val="00607F6F"/>
    <w:rsid w:val="00610D4E"/>
    <w:rsid w:val="006115DD"/>
    <w:rsid w:val="0061339D"/>
    <w:rsid w:val="00614706"/>
    <w:rsid w:val="006149AB"/>
    <w:rsid w:val="00615EB2"/>
    <w:rsid w:val="00617177"/>
    <w:rsid w:val="00617D81"/>
    <w:rsid w:val="006228E0"/>
    <w:rsid w:val="00623044"/>
    <w:rsid w:val="0062444F"/>
    <w:rsid w:val="00626CCD"/>
    <w:rsid w:val="006309C9"/>
    <w:rsid w:val="00630F5C"/>
    <w:rsid w:val="006340FC"/>
    <w:rsid w:val="00636210"/>
    <w:rsid w:val="00643725"/>
    <w:rsid w:val="006441C0"/>
    <w:rsid w:val="00647499"/>
    <w:rsid w:val="00647546"/>
    <w:rsid w:val="00652C06"/>
    <w:rsid w:val="0065485E"/>
    <w:rsid w:val="006565C0"/>
    <w:rsid w:val="0065702A"/>
    <w:rsid w:val="006604AB"/>
    <w:rsid w:val="00662025"/>
    <w:rsid w:val="006621AA"/>
    <w:rsid w:val="0066249D"/>
    <w:rsid w:val="0066304D"/>
    <w:rsid w:val="00663279"/>
    <w:rsid w:val="0066494B"/>
    <w:rsid w:val="006666AB"/>
    <w:rsid w:val="00667FEC"/>
    <w:rsid w:val="00670764"/>
    <w:rsid w:val="00670BAC"/>
    <w:rsid w:val="00671C5A"/>
    <w:rsid w:val="006773A0"/>
    <w:rsid w:val="00680969"/>
    <w:rsid w:val="00681453"/>
    <w:rsid w:val="0068168D"/>
    <w:rsid w:val="006818DB"/>
    <w:rsid w:val="006828A8"/>
    <w:rsid w:val="00683419"/>
    <w:rsid w:val="00684DBE"/>
    <w:rsid w:val="00691A7D"/>
    <w:rsid w:val="00694301"/>
    <w:rsid w:val="00697FC6"/>
    <w:rsid w:val="006A67C3"/>
    <w:rsid w:val="006B0D17"/>
    <w:rsid w:val="006B1515"/>
    <w:rsid w:val="006B1D0F"/>
    <w:rsid w:val="006B3043"/>
    <w:rsid w:val="006B37A7"/>
    <w:rsid w:val="006B43D9"/>
    <w:rsid w:val="006B4818"/>
    <w:rsid w:val="006B4A4D"/>
    <w:rsid w:val="006B5837"/>
    <w:rsid w:val="006B5DE4"/>
    <w:rsid w:val="006B6C8A"/>
    <w:rsid w:val="006B720C"/>
    <w:rsid w:val="006B7E55"/>
    <w:rsid w:val="006C03F6"/>
    <w:rsid w:val="006C0740"/>
    <w:rsid w:val="006C2A8B"/>
    <w:rsid w:val="006C2E12"/>
    <w:rsid w:val="006C350C"/>
    <w:rsid w:val="006C519B"/>
    <w:rsid w:val="006C552A"/>
    <w:rsid w:val="006D238E"/>
    <w:rsid w:val="006D2D8F"/>
    <w:rsid w:val="006D3F87"/>
    <w:rsid w:val="006D4032"/>
    <w:rsid w:val="006D53CF"/>
    <w:rsid w:val="006D6317"/>
    <w:rsid w:val="006E1758"/>
    <w:rsid w:val="006E1988"/>
    <w:rsid w:val="006E1CD2"/>
    <w:rsid w:val="006E5323"/>
    <w:rsid w:val="006E5651"/>
    <w:rsid w:val="006E5F8D"/>
    <w:rsid w:val="006F0B7C"/>
    <w:rsid w:val="006F2087"/>
    <w:rsid w:val="006F479F"/>
    <w:rsid w:val="006F5B65"/>
    <w:rsid w:val="006F600D"/>
    <w:rsid w:val="006F7C7E"/>
    <w:rsid w:val="00702318"/>
    <w:rsid w:val="007049D5"/>
    <w:rsid w:val="00704C5A"/>
    <w:rsid w:val="00705BD8"/>
    <w:rsid w:val="0070646B"/>
    <w:rsid w:val="0071232F"/>
    <w:rsid w:val="007126FC"/>
    <w:rsid w:val="007134E6"/>
    <w:rsid w:val="007143BD"/>
    <w:rsid w:val="007167E3"/>
    <w:rsid w:val="00717F14"/>
    <w:rsid w:val="00721A02"/>
    <w:rsid w:val="00725B84"/>
    <w:rsid w:val="0072600E"/>
    <w:rsid w:val="007330F3"/>
    <w:rsid w:val="007346C6"/>
    <w:rsid w:val="007349E7"/>
    <w:rsid w:val="00736D9D"/>
    <w:rsid w:val="00737775"/>
    <w:rsid w:val="00742CCD"/>
    <w:rsid w:val="00742F87"/>
    <w:rsid w:val="0074551E"/>
    <w:rsid w:val="007473D7"/>
    <w:rsid w:val="0075114C"/>
    <w:rsid w:val="00751EC0"/>
    <w:rsid w:val="00756DBE"/>
    <w:rsid w:val="007575F1"/>
    <w:rsid w:val="00757E03"/>
    <w:rsid w:val="00761DAE"/>
    <w:rsid w:val="00761FE1"/>
    <w:rsid w:val="00762AB3"/>
    <w:rsid w:val="007661BF"/>
    <w:rsid w:val="00766D90"/>
    <w:rsid w:val="0076782E"/>
    <w:rsid w:val="00767EC7"/>
    <w:rsid w:val="007704E9"/>
    <w:rsid w:val="0077136C"/>
    <w:rsid w:val="007727E4"/>
    <w:rsid w:val="00772D66"/>
    <w:rsid w:val="00773F34"/>
    <w:rsid w:val="0077772F"/>
    <w:rsid w:val="00777817"/>
    <w:rsid w:val="00780E58"/>
    <w:rsid w:val="0078504F"/>
    <w:rsid w:val="0078553D"/>
    <w:rsid w:val="00786CB6"/>
    <w:rsid w:val="00787FA2"/>
    <w:rsid w:val="007908A7"/>
    <w:rsid w:val="007960EE"/>
    <w:rsid w:val="00796A06"/>
    <w:rsid w:val="00796A46"/>
    <w:rsid w:val="007A100A"/>
    <w:rsid w:val="007A2C94"/>
    <w:rsid w:val="007A2E91"/>
    <w:rsid w:val="007A4FBB"/>
    <w:rsid w:val="007A68F7"/>
    <w:rsid w:val="007A72E4"/>
    <w:rsid w:val="007B0974"/>
    <w:rsid w:val="007B0B1B"/>
    <w:rsid w:val="007B1ACD"/>
    <w:rsid w:val="007B2229"/>
    <w:rsid w:val="007B253D"/>
    <w:rsid w:val="007B3616"/>
    <w:rsid w:val="007C0138"/>
    <w:rsid w:val="007C04F6"/>
    <w:rsid w:val="007C0C3E"/>
    <w:rsid w:val="007C365F"/>
    <w:rsid w:val="007C4286"/>
    <w:rsid w:val="007C4BFA"/>
    <w:rsid w:val="007C5C33"/>
    <w:rsid w:val="007C5D83"/>
    <w:rsid w:val="007C5E80"/>
    <w:rsid w:val="007C751E"/>
    <w:rsid w:val="007D0D42"/>
    <w:rsid w:val="007D2A11"/>
    <w:rsid w:val="007D365D"/>
    <w:rsid w:val="007D64E2"/>
    <w:rsid w:val="007D6F92"/>
    <w:rsid w:val="007D7FAE"/>
    <w:rsid w:val="007E0040"/>
    <w:rsid w:val="007E2167"/>
    <w:rsid w:val="007E3E38"/>
    <w:rsid w:val="007F0261"/>
    <w:rsid w:val="007F0E1E"/>
    <w:rsid w:val="007F0E46"/>
    <w:rsid w:val="007F2168"/>
    <w:rsid w:val="007F23F6"/>
    <w:rsid w:val="007F351F"/>
    <w:rsid w:val="007F62EA"/>
    <w:rsid w:val="00801398"/>
    <w:rsid w:val="00805F9A"/>
    <w:rsid w:val="00806105"/>
    <w:rsid w:val="00812A7C"/>
    <w:rsid w:val="008141DD"/>
    <w:rsid w:val="00815654"/>
    <w:rsid w:val="008245F8"/>
    <w:rsid w:val="008311A7"/>
    <w:rsid w:val="00831D8B"/>
    <w:rsid w:val="008337A4"/>
    <w:rsid w:val="00833D20"/>
    <w:rsid w:val="008431A7"/>
    <w:rsid w:val="00852660"/>
    <w:rsid w:val="00852D54"/>
    <w:rsid w:val="00853BEC"/>
    <w:rsid w:val="00854198"/>
    <w:rsid w:val="008556E4"/>
    <w:rsid w:val="008570FC"/>
    <w:rsid w:val="00863205"/>
    <w:rsid w:val="0086611F"/>
    <w:rsid w:val="00866DE6"/>
    <w:rsid w:val="00866DFC"/>
    <w:rsid w:val="008745F2"/>
    <w:rsid w:val="00882BC8"/>
    <w:rsid w:val="0088669E"/>
    <w:rsid w:val="0089068B"/>
    <w:rsid w:val="00891327"/>
    <w:rsid w:val="00891E8D"/>
    <w:rsid w:val="00891EC3"/>
    <w:rsid w:val="00894619"/>
    <w:rsid w:val="00894683"/>
    <w:rsid w:val="00894925"/>
    <w:rsid w:val="00894BE4"/>
    <w:rsid w:val="008A2A40"/>
    <w:rsid w:val="008A500B"/>
    <w:rsid w:val="008A5A7F"/>
    <w:rsid w:val="008A5B34"/>
    <w:rsid w:val="008A74A7"/>
    <w:rsid w:val="008B0217"/>
    <w:rsid w:val="008B20E4"/>
    <w:rsid w:val="008B2A52"/>
    <w:rsid w:val="008B2B01"/>
    <w:rsid w:val="008B4A3B"/>
    <w:rsid w:val="008B6BF0"/>
    <w:rsid w:val="008C058C"/>
    <w:rsid w:val="008C23FC"/>
    <w:rsid w:val="008C29BF"/>
    <w:rsid w:val="008C3202"/>
    <w:rsid w:val="008C60E9"/>
    <w:rsid w:val="008C6F3F"/>
    <w:rsid w:val="008C6FA1"/>
    <w:rsid w:val="008C7D2F"/>
    <w:rsid w:val="008D080D"/>
    <w:rsid w:val="008D4F40"/>
    <w:rsid w:val="008E256D"/>
    <w:rsid w:val="008E2DE3"/>
    <w:rsid w:val="008E39E5"/>
    <w:rsid w:val="008E5D98"/>
    <w:rsid w:val="008E5DF7"/>
    <w:rsid w:val="008E6002"/>
    <w:rsid w:val="008F0841"/>
    <w:rsid w:val="008F1797"/>
    <w:rsid w:val="008F179F"/>
    <w:rsid w:val="008F3D2C"/>
    <w:rsid w:val="008F6E31"/>
    <w:rsid w:val="0090040A"/>
    <w:rsid w:val="00902C22"/>
    <w:rsid w:val="00903393"/>
    <w:rsid w:val="00905109"/>
    <w:rsid w:val="009102C5"/>
    <w:rsid w:val="00912E00"/>
    <w:rsid w:val="0092072B"/>
    <w:rsid w:val="00923BA9"/>
    <w:rsid w:val="00923EB5"/>
    <w:rsid w:val="009266BB"/>
    <w:rsid w:val="00932489"/>
    <w:rsid w:val="0093587B"/>
    <w:rsid w:val="0094007B"/>
    <w:rsid w:val="00940A7A"/>
    <w:rsid w:val="00941667"/>
    <w:rsid w:val="0094328E"/>
    <w:rsid w:val="0094508A"/>
    <w:rsid w:val="00946918"/>
    <w:rsid w:val="00947A77"/>
    <w:rsid w:val="00947AA9"/>
    <w:rsid w:val="00947B47"/>
    <w:rsid w:val="009521B9"/>
    <w:rsid w:val="00953E2F"/>
    <w:rsid w:val="0095447A"/>
    <w:rsid w:val="0095529F"/>
    <w:rsid w:val="00957378"/>
    <w:rsid w:val="00957534"/>
    <w:rsid w:val="009603E1"/>
    <w:rsid w:val="009611B0"/>
    <w:rsid w:val="0096167C"/>
    <w:rsid w:val="009618F8"/>
    <w:rsid w:val="00962323"/>
    <w:rsid w:val="009641DE"/>
    <w:rsid w:val="009671CC"/>
    <w:rsid w:val="009702B4"/>
    <w:rsid w:val="00971590"/>
    <w:rsid w:val="0097308F"/>
    <w:rsid w:val="009731AB"/>
    <w:rsid w:val="009756B6"/>
    <w:rsid w:val="009774A0"/>
    <w:rsid w:val="009811CF"/>
    <w:rsid w:val="00981CB1"/>
    <w:rsid w:val="00982FCD"/>
    <w:rsid w:val="00983910"/>
    <w:rsid w:val="009851ED"/>
    <w:rsid w:val="00985DF7"/>
    <w:rsid w:val="00986641"/>
    <w:rsid w:val="00986FAC"/>
    <w:rsid w:val="009923B8"/>
    <w:rsid w:val="00993F09"/>
    <w:rsid w:val="00995064"/>
    <w:rsid w:val="00995E6E"/>
    <w:rsid w:val="009A10E6"/>
    <w:rsid w:val="009A17DB"/>
    <w:rsid w:val="009A1847"/>
    <w:rsid w:val="009A2004"/>
    <w:rsid w:val="009A25F1"/>
    <w:rsid w:val="009A2BDC"/>
    <w:rsid w:val="009A3913"/>
    <w:rsid w:val="009B029F"/>
    <w:rsid w:val="009B0A6E"/>
    <w:rsid w:val="009B1EF0"/>
    <w:rsid w:val="009C0727"/>
    <w:rsid w:val="009C22CE"/>
    <w:rsid w:val="009C2850"/>
    <w:rsid w:val="009C3C3B"/>
    <w:rsid w:val="009C48C1"/>
    <w:rsid w:val="009C4979"/>
    <w:rsid w:val="009C7DA6"/>
    <w:rsid w:val="009D515A"/>
    <w:rsid w:val="009D7130"/>
    <w:rsid w:val="009D7937"/>
    <w:rsid w:val="009E0372"/>
    <w:rsid w:val="009E126C"/>
    <w:rsid w:val="009E3AAC"/>
    <w:rsid w:val="009E5B32"/>
    <w:rsid w:val="009F0039"/>
    <w:rsid w:val="009F0F03"/>
    <w:rsid w:val="009F1BB9"/>
    <w:rsid w:val="009F35C5"/>
    <w:rsid w:val="009F3ED2"/>
    <w:rsid w:val="009F40E4"/>
    <w:rsid w:val="009F6D25"/>
    <w:rsid w:val="00A01AEC"/>
    <w:rsid w:val="00A02152"/>
    <w:rsid w:val="00A05F3B"/>
    <w:rsid w:val="00A062B5"/>
    <w:rsid w:val="00A06DAD"/>
    <w:rsid w:val="00A072EC"/>
    <w:rsid w:val="00A10A3D"/>
    <w:rsid w:val="00A12311"/>
    <w:rsid w:val="00A12606"/>
    <w:rsid w:val="00A12ED5"/>
    <w:rsid w:val="00A1472E"/>
    <w:rsid w:val="00A1596D"/>
    <w:rsid w:val="00A1610A"/>
    <w:rsid w:val="00A16D50"/>
    <w:rsid w:val="00A17573"/>
    <w:rsid w:val="00A2059C"/>
    <w:rsid w:val="00A20628"/>
    <w:rsid w:val="00A216B9"/>
    <w:rsid w:val="00A22CAA"/>
    <w:rsid w:val="00A23BFA"/>
    <w:rsid w:val="00A24270"/>
    <w:rsid w:val="00A327AD"/>
    <w:rsid w:val="00A32A14"/>
    <w:rsid w:val="00A36050"/>
    <w:rsid w:val="00A36094"/>
    <w:rsid w:val="00A3741B"/>
    <w:rsid w:val="00A377E9"/>
    <w:rsid w:val="00A37BAC"/>
    <w:rsid w:val="00A4147E"/>
    <w:rsid w:val="00A43FEC"/>
    <w:rsid w:val="00A442CD"/>
    <w:rsid w:val="00A45301"/>
    <w:rsid w:val="00A45DDA"/>
    <w:rsid w:val="00A5419F"/>
    <w:rsid w:val="00A54B09"/>
    <w:rsid w:val="00A5517A"/>
    <w:rsid w:val="00A56BFD"/>
    <w:rsid w:val="00A61E30"/>
    <w:rsid w:val="00A6438E"/>
    <w:rsid w:val="00A64CB3"/>
    <w:rsid w:val="00A64F3B"/>
    <w:rsid w:val="00A700D6"/>
    <w:rsid w:val="00A70932"/>
    <w:rsid w:val="00A717EC"/>
    <w:rsid w:val="00A72864"/>
    <w:rsid w:val="00A73328"/>
    <w:rsid w:val="00A735A2"/>
    <w:rsid w:val="00A77E5C"/>
    <w:rsid w:val="00A800B9"/>
    <w:rsid w:val="00A8149E"/>
    <w:rsid w:val="00A81B15"/>
    <w:rsid w:val="00A83F4B"/>
    <w:rsid w:val="00A85DBC"/>
    <w:rsid w:val="00A85F81"/>
    <w:rsid w:val="00A900C6"/>
    <w:rsid w:val="00A91CE2"/>
    <w:rsid w:val="00A923AD"/>
    <w:rsid w:val="00A93CBD"/>
    <w:rsid w:val="00A93E81"/>
    <w:rsid w:val="00A9560C"/>
    <w:rsid w:val="00A95F2B"/>
    <w:rsid w:val="00A9616D"/>
    <w:rsid w:val="00A97613"/>
    <w:rsid w:val="00AA019E"/>
    <w:rsid w:val="00AA1982"/>
    <w:rsid w:val="00AB085F"/>
    <w:rsid w:val="00AB1073"/>
    <w:rsid w:val="00AB1797"/>
    <w:rsid w:val="00AB31FD"/>
    <w:rsid w:val="00AB3951"/>
    <w:rsid w:val="00AB3F85"/>
    <w:rsid w:val="00AB455E"/>
    <w:rsid w:val="00AB4B69"/>
    <w:rsid w:val="00AB4FC8"/>
    <w:rsid w:val="00AB6822"/>
    <w:rsid w:val="00AC0361"/>
    <w:rsid w:val="00AC10C2"/>
    <w:rsid w:val="00AC2FE6"/>
    <w:rsid w:val="00AC3EF7"/>
    <w:rsid w:val="00AC6280"/>
    <w:rsid w:val="00AD0BA7"/>
    <w:rsid w:val="00AD0D48"/>
    <w:rsid w:val="00AD4122"/>
    <w:rsid w:val="00AD423E"/>
    <w:rsid w:val="00AD623D"/>
    <w:rsid w:val="00AD680E"/>
    <w:rsid w:val="00AD6EFC"/>
    <w:rsid w:val="00AE038C"/>
    <w:rsid w:val="00AE47CF"/>
    <w:rsid w:val="00AE4DF1"/>
    <w:rsid w:val="00AE5A79"/>
    <w:rsid w:val="00AE5CC5"/>
    <w:rsid w:val="00AF3E54"/>
    <w:rsid w:val="00AF434C"/>
    <w:rsid w:val="00AF507F"/>
    <w:rsid w:val="00AF6362"/>
    <w:rsid w:val="00AF6FF7"/>
    <w:rsid w:val="00B01B61"/>
    <w:rsid w:val="00B03172"/>
    <w:rsid w:val="00B04F6F"/>
    <w:rsid w:val="00B056E5"/>
    <w:rsid w:val="00B11B50"/>
    <w:rsid w:val="00B124D0"/>
    <w:rsid w:val="00B128B0"/>
    <w:rsid w:val="00B12D2D"/>
    <w:rsid w:val="00B13133"/>
    <w:rsid w:val="00B146F9"/>
    <w:rsid w:val="00B14C2E"/>
    <w:rsid w:val="00B203E6"/>
    <w:rsid w:val="00B24E41"/>
    <w:rsid w:val="00B276B0"/>
    <w:rsid w:val="00B311E5"/>
    <w:rsid w:val="00B3128C"/>
    <w:rsid w:val="00B31CA7"/>
    <w:rsid w:val="00B34C5A"/>
    <w:rsid w:val="00B413C1"/>
    <w:rsid w:val="00B41BE0"/>
    <w:rsid w:val="00B423F7"/>
    <w:rsid w:val="00B441E3"/>
    <w:rsid w:val="00B4495A"/>
    <w:rsid w:val="00B4502B"/>
    <w:rsid w:val="00B468AE"/>
    <w:rsid w:val="00B474E8"/>
    <w:rsid w:val="00B530CD"/>
    <w:rsid w:val="00B5445E"/>
    <w:rsid w:val="00B5572A"/>
    <w:rsid w:val="00B65997"/>
    <w:rsid w:val="00B70800"/>
    <w:rsid w:val="00B717CE"/>
    <w:rsid w:val="00B7249A"/>
    <w:rsid w:val="00B73449"/>
    <w:rsid w:val="00B737B5"/>
    <w:rsid w:val="00B73D9F"/>
    <w:rsid w:val="00B76290"/>
    <w:rsid w:val="00B76E7B"/>
    <w:rsid w:val="00B775B1"/>
    <w:rsid w:val="00B77712"/>
    <w:rsid w:val="00B806B5"/>
    <w:rsid w:val="00B80DBC"/>
    <w:rsid w:val="00B81338"/>
    <w:rsid w:val="00B81563"/>
    <w:rsid w:val="00B83270"/>
    <w:rsid w:val="00B83936"/>
    <w:rsid w:val="00B8446C"/>
    <w:rsid w:val="00B90D9F"/>
    <w:rsid w:val="00B91157"/>
    <w:rsid w:val="00B9297C"/>
    <w:rsid w:val="00B94FF1"/>
    <w:rsid w:val="00B95753"/>
    <w:rsid w:val="00B96B87"/>
    <w:rsid w:val="00B973E7"/>
    <w:rsid w:val="00BA1CE4"/>
    <w:rsid w:val="00BA6274"/>
    <w:rsid w:val="00BA7AA3"/>
    <w:rsid w:val="00BB1626"/>
    <w:rsid w:val="00BB1A51"/>
    <w:rsid w:val="00BB30C4"/>
    <w:rsid w:val="00BB3CE3"/>
    <w:rsid w:val="00BB3D0C"/>
    <w:rsid w:val="00BB536B"/>
    <w:rsid w:val="00BB6566"/>
    <w:rsid w:val="00BB709B"/>
    <w:rsid w:val="00BB73FF"/>
    <w:rsid w:val="00BB78A6"/>
    <w:rsid w:val="00BC0BAB"/>
    <w:rsid w:val="00BC0FF3"/>
    <w:rsid w:val="00BC1122"/>
    <w:rsid w:val="00BC16F0"/>
    <w:rsid w:val="00BC386C"/>
    <w:rsid w:val="00BC5E83"/>
    <w:rsid w:val="00BC717F"/>
    <w:rsid w:val="00BC7927"/>
    <w:rsid w:val="00BD1AFF"/>
    <w:rsid w:val="00BD5DC3"/>
    <w:rsid w:val="00BD7ABB"/>
    <w:rsid w:val="00BE10DD"/>
    <w:rsid w:val="00BE1C54"/>
    <w:rsid w:val="00BE278D"/>
    <w:rsid w:val="00BF0D6A"/>
    <w:rsid w:val="00BF1F02"/>
    <w:rsid w:val="00BF45F8"/>
    <w:rsid w:val="00BF4FAD"/>
    <w:rsid w:val="00BF65EA"/>
    <w:rsid w:val="00BF6819"/>
    <w:rsid w:val="00BF71E8"/>
    <w:rsid w:val="00BF7660"/>
    <w:rsid w:val="00C0131B"/>
    <w:rsid w:val="00C01550"/>
    <w:rsid w:val="00C01CE6"/>
    <w:rsid w:val="00C02495"/>
    <w:rsid w:val="00C02B2E"/>
    <w:rsid w:val="00C061A5"/>
    <w:rsid w:val="00C11B89"/>
    <w:rsid w:val="00C139D8"/>
    <w:rsid w:val="00C17D2A"/>
    <w:rsid w:val="00C21488"/>
    <w:rsid w:val="00C21BAB"/>
    <w:rsid w:val="00C22CAC"/>
    <w:rsid w:val="00C2344C"/>
    <w:rsid w:val="00C236E7"/>
    <w:rsid w:val="00C23CDF"/>
    <w:rsid w:val="00C301ED"/>
    <w:rsid w:val="00C3105F"/>
    <w:rsid w:val="00C31F91"/>
    <w:rsid w:val="00C3661F"/>
    <w:rsid w:val="00C40540"/>
    <w:rsid w:val="00C407EE"/>
    <w:rsid w:val="00C42F25"/>
    <w:rsid w:val="00C4602A"/>
    <w:rsid w:val="00C46CB9"/>
    <w:rsid w:val="00C4747C"/>
    <w:rsid w:val="00C52628"/>
    <w:rsid w:val="00C52794"/>
    <w:rsid w:val="00C6582F"/>
    <w:rsid w:val="00C66FC6"/>
    <w:rsid w:val="00C71F0A"/>
    <w:rsid w:val="00C722B9"/>
    <w:rsid w:val="00C72971"/>
    <w:rsid w:val="00C73032"/>
    <w:rsid w:val="00C73BDD"/>
    <w:rsid w:val="00C81404"/>
    <w:rsid w:val="00C851F9"/>
    <w:rsid w:val="00C86966"/>
    <w:rsid w:val="00C950E1"/>
    <w:rsid w:val="00C96342"/>
    <w:rsid w:val="00C97EAD"/>
    <w:rsid w:val="00CA1854"/>
    <w:rsid w:val="00CA1BFB"/>
    <w:rsid w:val="00CA6D87"/>
    <w:rsid w:val="00CB1C8E"/>
    <w:rsid w:val="00CB2A59"/>
    <w:rsid w:val="00CB5549"/>
    <w:rsid w:val="00CB69AB"/>
    <w:rsid w:val="00CC4271"/>
    <w:rsid w:val="00CC525D"/>
    <w:rsid w:val="00CC5971"/>
    <w:rsid w:val="00CD1EB0"/>
    <w:rsid w:val="00CD2BBB"/>
    <w:rsid w:val="00CE2326"/>
    <w:rsid w:val="00CE2B1C"/>
    <w:rsid w:val="00CE3967"/>
    <w:rsid w:val="00CE6A27"/>
    <w:rsid w:val="00CF45DB"/>
    <w:rsid w:val="00CF4962"/>
    <w:rsid w:val="00CF4A45"/>
    <w:rsid w:val="00D01E9E"/>
    <w:rsid w:val="00D04792"/>
    <w:rsid w:val="00D07323"/>
    <w:rsid w:val="00D074F0"/>
    <w:rsid w:val="00D16722"/>
    <w:rsid w:val="00D1698F"/>
    <w:rsid w:val="00D2427E"/>
    <w:rsid w:val="00D255A0"/>
    <w:rsid w:val="00D2766A"/>
    <w:rsid w:val="00D3206C"/>
    <w:rsid w:val="00D36146"/>
    <w:rsid w:val="00D44DE0"/>
    <w:rsid w:val="00D500F1"/>
    <w:rsid w:val="00D50E85"/>
    <w:rsid w:val="00D5175A"/>
    <w:rsid w:val="00D51E61"/>
    <w:rsid w:val="00D520E4"/>
    <w:rsid w:val="00D55630"/>
    <w:rsid w:val="00D57DFA"/>
    <w:rsid w:val="00D61B09"/>
    <w:rsid w:val="00D6326F"/>
    <w:rsid w:val="00D63FFB"/>
    <w:rsid w:val="00D676BF"/>
    <w:rsid w:val="00D7044F"/>
    <w:rsid w:val="00D71CEE"/>
    <w:rsid w:val="00D7268C"/>
    <w:rsid w:val="00D7349F"/>
    <w:rsid w:val="00D738DA"/>
    <w:rsid w:val="00D75348"/>
    <w:rsid w:val="00D757CF"/>
    <w:rsid w:val="00D75A32"/>
    <w:rsid w:val="00D8248F"/>
    <w:rsid w:val="00D8293E"/>
    <w:rsid w:val="00D84A88"/>
    <w:rsid w:val="00D86FC4"/>
    <w:rsid w:val="00D90B18"/>
    <w:rsid w:val="00D914E3"/>
    <w:rsid w:val="00D944E5"/>
    <w:rsid w:val="00D968AA"/>
    <w:rsid w:val="00DA43A9"/>
    <w:rsid w:val="00DA49CD"/>
    <w:rsid w:val="00DA5FB9"/>
    <w:rsid w:val="00DA6073"/>
    <w:rsid w:val="00DB0F2D"/>
    <w:rsid w:val="00DB18F7"/>
    <w:rsid w:val="00DB2C6D"/>
    <w:rsid w:val="00DB3C8F"/>
    <w:rsid w:val="00DB3FE6"/>
    <w:rsid w:val="00DB5D52"/>
    <w:rsid w:val="00DB5E1E"/>
    <w:rsid w:val="00DC08A4"/>
    <w:rsid w:val="00DC0F29"/>
    <w:rsid w:val="00DC12D4"/>
    <w:rsid w:val="00DC17A3"/>
    <w:rsid w:val="00DC2C67"/>
    <w:rsid w:val="00DC5987"/>
    <w:rsid w:val="00DC62D7"/>
    <w:rsid w:val="00DC7417"/>
    <w:rsid w:val="00DC7DC2"/>
    <w:rsid w:val="00DD0C2C"/>
    <w:rsid w:val="00DD0CE9"/>
    <w:rsid w:val="00DD1DD1"/>
    <w:rsid w:val="00DD223A"/>
    <w:rsid w:val="00DD3666"/>
    <w:rsid w:val="00DD4269"/>
    <w:rsid w:val="00DD489C"/>
    <w:rsid w:val="00DD54D3"/>
    <w:rsid w:val="00DD5C91"/>
    <w:rsid w:val="00DD781C"/>
    <w:rsid w:val="00DD78F7"/>
    <w:rsid w:val="00DE056A"/>
    <w:rsid w:val="00DE0C25"/>
    <w:rsid w:val="00DE0F02"/>
    <w:rsid w:val="00DE4C9A"/>
    <w:rsid w:val="00DE69DB"/>
    <w:rsid w:val="00DE7626"/>
    <w:rsid w:val="00DF0625"/>
    <w:rsid w:val="00DF37B6"/>
    <w:rsid w:val="00DF3A27"/>
    <w:rsid w:val="00DF3FBE"/>
    <w:rsid w:val="00DF464B"/>
    <w:rsid w:val="00E017B5"/>
    <w:rsid w:val="00E023C0"/>
    <w:rsid w:val="00E04256"/>
    <w:rsid w:val="00E0549E"/>
    <w:rsid w:val="00E05661"/>
    <w:rsid w:val="00E06EE9"/>
    <w:rsid w:val="00E0748D"/>
    <w:rsid w:val="00E102EB"/>
    <w:rsid w:val="00E10653"/>
    <w:rsid w:val="00E12BBF"/>
    <w:rsid w:val="00E132FC"/>
    <w:rsid w:val="00E1454A"/>
    <w:rsid w:val="00E14E23"/>
    <w:rsid w:val="00E21AFA"/>
    <w:rsid w:val="00E22964"/>
    <w:rsid w:val="00E23BAE"/>
    <w:rsid w:val="00E240D7"/>
    <w:rsid w:val="00E241B8"/>
    <w:rsid w:val="00E32538"/>
    <w:rsid w:val="00E3330B"/>
    <w:rsid w:val="00E33D1D"/>
    <w:rsid w:val="00E35460"/>
    <w:rsid w:val="00E41940"/>
    <w:rsid w:val="00E45EB6"/>
    <w:rsid w:val="00E46234"/>
    <w:rsid w:val="00E5003A"/>
    <w:rsid w:val="00E55ABC"/>
    <w:rsid w:val="00E57331"/>
    <w:rsid w:val="00E57B74"/>
    <w:rsid w:val="00E6015C"/>
    <w:rsid w:val="00E62E8D"/>
    <w:rsid w:val="00E64096"/>
    <w:rsid w:val="00E643C0"/>
    <w:rsid w:val="00E66090"/>
    <w:rsid w:val="00E729C7"/>
    <w:rsid w:val="00E72D0D"/>
    <w:rsid w:val="00E74677"/>
    <w:rsid w:val="00E75DA3"/>
    <w:rsid w:val="00E80D82"/>
    <w:rsid w:val="00E82357"/>
    <w:rsid w:val="00E8310E"/>
    <w:rsid w:val="00E83370"/>
    <w:rsid w:val="00E86125"/>
    <w:rsid w:val="00E8629F"/>
    <w:rsid w:val="00E86FB9"/>
    <w:rsid w:val="00E87B15"/>
    <w:rsid w:val="00E87E66"/>
    <w:rsid w:val="00E911D8"/>
    <w:rsid w:val="00E91D02"/>
    <w:rsid w:val="00E95DD3"/>
    <w:rsid w:val="00E968AA"/>
    <w:rsid w:val="00E9763E"/>
    <w:rsid w:val="00EA2315"/>
    <w:rsid w:val="00EA3196"/>
    <w:rsid w:val="00EA3C24"/>
    <w:rsid w:val="00EA72BB"/>
    <w:rsid w:val="00EB1696"/>
    <w:rsid w:val="00EB1822"/>
    <w:rsid w:val="00EB1B21"/>
    <w:rsid w:val="00EB35BE"/>
    <w:rsid w:val="00EB57B0"/>
    <w:rsid w:val="00EB68D6"/>
    <w:rsid w:val="00EC7167"/>
    <w:rsid w:val="00ED3C71"/>
    <w:rsid w:val="00ED4B0F"/>
    <w:rsid w:val="00ED68BA"/>
    <w:rsid w:val="00ED6D10"/>
    <w:rsid w:val="00EE1345"/>
    <w:rsid w:val="00EE546D"/>
    <w:rsid w:val="00EF25A2"/>
    <w:rsid w:val="00EF5707"/>
    <w:rsid w:val="00EF57E8"/>
    <w:rsid w:val="00EF5DB8"/>
    <w:rsid w:val="00EF6EEA"/>
    <w:rsid w:val="00F00300"/>
    <w:rsid w:val="00F00DAA"/>
    <w:rsid w:val="00F03FF5"/>
    <w:rsid w:val="00F0596B"/>
    <w:rsid w:val="00F072D8"/>
    <w:rsid w:val="00F10763"/>
    <w:rsid w:val="00F10A03"/>
    <w:rsid w:val="00F1129B"/>
    <w:rsid w:val="00F11EE8"/>
    <w:rsid w:val="00F1276A"/>
    <w:rsid w:val="00F25AE8"/>
    <w:rsid w:val="00F25C96"/>
    <w:rsid w:val="00F27B01"/>
    <w:rsid w:val="00F31EE9"/>
    <w:rsid w:val="00F350A8"/>
    <w:rsid w:val="00F35D16"/>
    <w:rsid w:val="00F368BA"/>
    <w:rsid w:val="00F3701B"/>
    <w:rsid w:val="00F372B9"/>
    <w:rsid w:val="00F3762D"/>
    <w:rsid w:val="00F442B1"/>
    <w:rsid w:val="00F444BA"/>
    <w:rsid w:val="00F46824"/>
    <w:rsid w:val="00F50DA2"/>
    <w:rsid w:val="00F531E0"/>
    <w:rsid w:val="00F540D5"/>
    <w:rsid w:val="00F567AD"/>
    <w:rsid w:val="00F56A92"/>
    <w:rsid w:val="00F57320"/>
    <w:rsid w:val="00F60DA9"/>
    <w:rsid w:val="00F6156D"/>
    <w:rsid w:val="00F61DFC"/>
    <w:rsid w:val="00F63560"/>
    <w:rsid w:val="00F65071"/>
    <w:rsid w:val="00F67209"/>
    <w:rsid w:val="00F679C0"/>
    <w:rsid w:val="00F744DD"/>
    <w:rsid w:val="00F8082E"/>
    <w:rsid w:val="00F81411"/>
    <w:rsid w:val="00F819C6"/>
    <w:rsid w:val="00F8280B"/>
    <w:rsid w:val="00F84624"/>
    <w:rsid w:val="00F854BD"/>
    <w:rsid w:val="00F912BF"/>
    <w:rsid w:val="00F92156"/>
    <w:rsid w:val="00F927F5"/>
    <w:rsid w:val="00F933E9"/>
    <w:rsid w:val="00F93B5B"/>
    <w:rsid w:val="00F9501F"/>
    <w:rsid w:val="00F96F0A"/>
    <w:rsid w:val="00FA3301"/>
    <w:rsid w:val="00FA521E"/>
    <w:rsid w:val="00FA5FE6"/>
    <w:rsid w:val="00FB16E5"/>
    <w:rsid w:val="00FB2F9F"/>
    <w:rsid w:val="00FB3142"/>
    <w:rsid w:val="00FB4313"/>
    <w:rsid w:val="00FB52B7"/>
    <w:rsid w:val="00FB5B8C"/>
    <w:rsid w:val="00FB6222"/>
    <w:rsid w:val="00FB6FFF"/>
    <w:rsid w:val="00FC051F"/>
    <w:rsid w:val="00FC0979"/>
    <w:rsid w:val="00FC273C"/>
    <w:rsid w:val="00FC64FA"/>
    <w:rsid w:val="00FC6AFD"/>
    <w:rsid w:val="00FD37E8"/>
    <w:rsid w:val="00FE0916"/>
    <w:rsid w:val="00FE0C40"/>
    <w:rsid w:val="00FE2EE5"/>
    <w:rsid w:val="00FE47D0"/>
    <w:rsid w:val="00FF0AA1"/>
    <w:rsid w:val="00FF2153"/>
    <w:rsid w:val="00FF368F"/>
    <w:rsid w:val="00FF68DF"/>
    <w:rsid w:val="00FF79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78B27D"/>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uiPriority w:val="99"/>
    <w:rsid w:val="009E3AAC"/>
    <w:pPr>
      <w:spacing w:after="0"/>
    </w:pPr>
    <w:rPr>
      <w:rFonts w:ascii="Segoe UI" w:hAnsi="Segoe UI"/>
      <w:sz w:val="18"/>
      <w:szCs w:val="18"/>
    </w:rPr>
  </w:style>
  <w:style w:type="character" w:customStyle="1" w:styleId="BalloonTextChar">
    <w:name w:val="Balloon Text Char"/>
    <w:link w:val="BalloonText"/>
    <w:uiPriority w:val="99"/>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numbering" w:customStyle="1" w:styleId="NoList1">
    <w:name w:val="No List1"/>
    <w:next w:val="NoList"/>
    <w:uiPriority w:val="99"/>
    <w:semiHidden/>
    <w:unhideWhenUsed/>
    <w:rsid w:val="00D63FFB"/>
  </w:style>
  <w:style w:type="table" w:customStyle="1" w:styleId="TableGrid1">
    <w:name w:val="Table Grid1"/>
    <w:basedOn w:val="TableNormal"/>
    <w:next w:val="TableGrid"/>
    <w:uiPriority w:val="39"/>
    <w:rsid w:val="00D63FF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package" Target="embeddings/Microsoft_Visio_Drawing1.vsdx"/><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9" ma:contentTypeDescription="Create a new document." ma:contentTypeScope="" ma:versionID="1a0867f74d1ac3d3cde16fb790b139b6">
  <xsd:schema xmlns:xsd="http://www.w3.org/2001/XMLSchema" xmlns:xs="http://www.w3.org/2001/XMLSchema" xmlns:p="http://schemas.microsoft.com/office/2006/metadata/properties" xmlns:ns3="cc9c437c-ae0c-4066-8d90-a0f7de786127" targetNamespace="http://schemas.microsoft.com/office/2006/metadata/properties" ma:root="true" ma:fieldsID="23ba6d3037c739e133b7da2578296688"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657E8D-5DCF-4E15-BDCC-EC9A1EC665EF}">
  <ds:schemaRefs>
    <ds:schemaRef ds:uri="http://schemas.openxmlformats.org/officeDocument/2006/bibliography"/>
  </ds:schemaRefs>
</ds:datastoreItem>
</file>

<file path=customXml/itemProps2.xml><?xml version="1.0" encoding="utf-8"?>
<ds:datastoreItem xmlns:ds="http://schemas.openxmlformats.org/officeDocument/2006/customXml" ds:itemID="{224B62FF-E9F9-46ED-96C9-60DCE028BBB0}">
  <ds:schemaRefs>
    <ds:schemaRef ds:uri="http://schemas.microsoft.com/sharepoint/v3/contenttype/forms"/>
  </ds:schemaRefs>
</ds:datastoreItem>
</file>

<file path=customXml/itemProps3.xml><?xml version="1.0" encoding="utf-8"?>
<ds:datastoreItem xmlns:ds="http://schemas.openxmlformats.org/officeDocument/2006/customXml" ds:itemID="{D90D99E2-F8AB-4A84-87C5-CE1B2004F1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324F19-C57D-4707-B62A-732F423FA83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4</Pages>
  <Words>1631</Words>
  <Characters>9302</Characters>
  <Application>Microsoft Office Word</Application>
  <DocSecurity>0</DocSecurity>
  <Lines>77</Lines>
  <Paragraphs>21</Paragraphs>
  <ScaleCrop>false</ScaleCrop>
  <HeadingPairs>
    <vt:vector size="8" baseType="variant">
      <vt:variant>
        <vt:lpstr>Title</vt:lpstr>
      </vt:variant>
      <vt:variant>
        <vt:i4>1</vt:i4>
      </vt:variant>
      <vt:variant>
        <vt:lpstr>Headings</vt:lpstr>
      </vt:variant>
      <vt:variant>
        <vt:i4>5</vt:i4>
      </vt:variant>
      <vt:variant>
        <vt:lpstr>Titre</vt:lpstr>
      </vt:variant>
      <vt:variant>
        <vt:i4>1</vt:i4>
      </vt:variant>
      <vt:variant>
        <vt:lpstr>标题</vt:lpstr>
      </vt:variant>
      <vt:variant>
        <vt:i4>100</vt:i4>
      </vt:variant>
    </vt:vector>
  </HeadingPairs>
  <TitlesOfParts>
    <vt:vector size="107" baseType="lpstr">
      <vt:lpstr>3GPP TR 23.737</vt:lpstr>
      <vt:lpstr>1. Introduction</vt:lpstr>
      <vt:lpstr>2. Option C+D for TAC inclusion in User Location Information (ULI)</vt:lpstr>
      <vt:lpstr>3. Support of Forbidden Areas (FAs) and Service Areas (SAs)</vt:lpstr>
      <vt:lpstr>4. Conclusions</vt:lpstr>
      <vt:lpstr>5. References </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10912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QCOM</cp:lastModifiedBy>
  <cp:revision>16</cp:revision>
  <cp:lastPrinted>2021-10-04T09:20:00Z</cp:lastPrinted>
  <dcterms:created xsi:type="dcterms:W3CDTF">2021-11-02T05:12:00Z</dcterms:created>
  <dcterms:modified xsi:type="dcterms:W3CDTF">2021-11-08T07:24:00Z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_NewReviewCycle">
    <vt:lpwstr/>
  </property>
  <property fmtid="{D5CDD505-2E9C-101B-9397-08002B2CF9AE}" pid="11" name="ContentTypeId">
    <vt:lpwstr>0x010100EB28163D68FE8E4D9361964FDD814FC4</vt:lpwstr>
  </property>
  <property fmtid="{D5CDD505-2E9C-101B-9397-08002B2CF9AE}" pid="12" name="_AdHocReviewCycleID">
    <vt:i4>211447801</vt:i4>
  </property>
  <property fmtid="{D5CDD505-2E9C-101B-9397-08002B2CF9AE}" pid="13" name="_EmailSubject">
    <vt:lpwstr>5G SAT Contribution Planning</vt:lpwstr>
  </property>
  <property fmtid="{D5CDD505-2E9C-101B-9397-08002B2CF9AE}" pid="14" name="_AuthorEmail">
    <vt:lpwstr>llopes@qti.qualcomm.com</vt:lpwstr>
  </property>
  <property fmtid="{D5CDD505-2E9C-101B-9397-08002B2CF9AE}" pid="15" name="_AuthorEmailDisplayName">
    <vt:lpwstr>Luis Lopes</vt:lpwstr>
  </property>
  <property fmtid="{D5CDD505-2E9C-101B-9397-08002B2CF9AE}" pid="16" name="_ReviewingToolsShownOnce">
    <vt:lpwstr/>
  </property>
</Properties>
</file>